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193F10" w:rsidRPr="00194AA6" w:rsidRDefault="00193F10" w:rsidP="00194AA6">
      <w:pPr>
        <w:jc w:val="center"/>
        <w:rPr>
          <w:sz w:val="22"/>
          <w:szCs w:val="22"/>
        </w:rPr>
      </w:pPr>
    </w:p>
    <w:p w:rsidR="00193F10" w:rsidRDefault="005F3694" w:rsidP="00194AA6">
      <w:pPr>
        <w:jc w:val="center"/>
      </w:pPr>
      <w:r>
        <w:rPr>
          <w:noProof/>
        </w:rPr>
        <w:drawing>
          <wp:inline distT="0" distB="0" distL="0" distR="0">
            <wp:extent cx="1714500" cy="1123950"/>
            <wp:effectExtent l="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14500" cy="1123950"/>
                    </a:xfrm>
                    <a:prstGeom prst="rect">
                      <a:avLst/>
                    </a:prstGeom>
                    <a:noFill/>
                    <a:ln>
                      <a:noFill/>
                    </a:ln>
                  </pic:spPr>
                </pic:pic>
              </a:graphicData>
            </a:graphic>
          </wp:inline>
        </w:drawing>
      </w:r>
    </w:p>
    <w:p w:rsidR="001771DC" w:rsidRPr="00194AA6" w:rsidRDefault="001771DC" w:rsidP="00194AA6">
      <w:pPr>
        <w:jc w:val="center"/>
        <w:rPr>
          <w:sz w:val="22"/>
          <w:szCs w:val="22"/>
        </w:rPr>
      </w:pPr>
    </w:p>
    <w:p w:rsidR="00193F10" w:rsidRPr="00194AA6" w:rsidRDefault="00193F10" w:rsidP="00194AA6">
      <w:pPr>
        <w:pStyle w:val="Heading3"/>
        <w:rPr>
          <w:b/>
          <w:sz w:val="22"/>
          <w:szCs w:val="22"/>
        </w:rPr>
      </w:pPr>
      <w:r w:rsidRPr="00194AA6">
        <w:rPr>
          <w:b/>
          <w:sz w:val="22"/>
          <w:szCs w:val="22"/>
        </w:rPr>
        <w:t>TECHNICAL EVALUATION</w:t>
      </w:r>
    </w:p>
    <w:p w:rsidR="00193F10" w:rsidRPr="00194AA6" w:rsidRDefault="00193F10" w:rsidP="00194AA6">
      <w:pPr>
        <w:jc w:val="center"/>
        <w:rPr>
          <w:b/>
          <w:sz w:val="22"/>
          <w:szCs w:val="22"/>
        </w:rPr>
      </w:pPr>
      <w:r w:rsidRPr="00194AA6">
        <w:rPr>
          <w:b/>
          <w:sz w:val="22"/>
          <w:szCs w:val="22"/>
        </w:rPr>
        <w:t>&amp;</w:t>
      </w:r>
    </w:p>
    <w:p w:rsidR="00193F10" w:rsidRPr="00194AA6" w:rsidRDefault="00193F10" w:rsidP="00194AA6">
      <w:pPr>
        <w:jc w:val="center"/>
        <w:rPr>
          <w:b/>
          <w:sz w:val="22"/>
          <w:szCs w:val="22"/>
        </w:rPr>
      </w:pPr>
      <w:r w:rsidRPr="00194AA6">
        <w:rPr>
          <w:b/>
          <w:sz w:val="22"/>
          <w:szCs w:val="22"/>
        </w:rPr>
        <w:t>PRELIMINARY DETERMINATION</w:t>
      </w:r>
    </w:p>
    <w:p w:rsidR="00193F10" w:rsidRPr="00194AA6" w:rsidRDefault="00193F10" w:rsidP="00194AA6">
      <w:pPr>
        <w:jc w:val="center"/>
        <w:rPr>
          <w:sz w:val="22"/>
          <w:szCs w:val="22"/>
        </w:rPr>
      </w:pPr>
    </w:p>
    <w:p w:rsidR="00193F10" w:rsidRPr="008B2546" w:rsidRDefault="00193F10" w:rsidP="00194AA6">
      <w:pPr>
        <w:jc w:val="center"/>
        <w:rPr>
          <w:b/>
          <w:sz w:val="22"/>
          <w:szCs w:val="22"/>
        </w:rPr>
      </w:pPr>
    </w:p>
    <w:p w:rsidR="00193F10" w:rsidRPr="00194AA6" w:rsidRDefault="00193F10" w:rsidP="00194AA6">
      <w:pPr>
        <w:jc w:val="center"/>
        <w:rPr>
          <w:sz w:val="22"/>
          <w:szCs w:val="22"/>
        </w:rPr>
      </w:pPr>
    </w:p>
    <w:p w:rsidR="00194AA6" w:rsidRPr="008257EF" w:rsidRDefault="00194AA6" w:rsidP="00194AA6">
      <w:pPr>
        <w:pStyle w:val="Heading4"/>
        <w:spacing w:after="120"/>
        <w:rPr>
          <w:bCs/>
          <w:szCs w:val="22"/>
        </w:rPr>
      </w:pPr>
      <w:r w:rsidRPr="008257EF">
        <w:rPr>
          <w:bCs/>
          <w:szCs w:val="22"/>
        </w:rPr>
        <w:t>APPLICANT</w:t>
      </w:r>
    </w:p>
    <w:p w:rsidR="008257EF" w:rsidRPr="002A4069" w:rsidRDefault="0072691F" w:rsidP="00194AA6">
      <w:pPr>
        <w:widowControl w:val="0"/>
        <w:jc w:val="center"/>
        <w:rPr>
          <w:sz w:val="22"/>
          <w:szCs w:val="22"/>
        </w:rPr>
      </w:pPr>
      <w:r w:rsidRPr="00452150">
        <w:rPr>
          <w:sz w:val="28"/>
          <w:szCs w:val="28"/>
        </w:rPr>
        <w:t>Florida Power &amp; Light Company (FPL)</w:t>
      </w:r>
    </w:p>
    <w:p w:rsidR="00EB12E3" w:rsidRDefault="00EB12E3" w:rsidP="00194AA6">
      <w:pPr>
        <w:widowControl w:val="0"/>
        <w:jc w:val="center"/>
        <w:rPr>
          <w:sz w:val="22"/>
          <w:szCs w:val="22"/>
        </w:rPr>
      </w:pPr>
    </w:p>
    <w:p w:rsidR="008257EF" w:rsidRPr="008257EF" w:rsidRDefault="008257EF" w:rsidP="00194AA6">
      <w:pPr>
        <w:widowControl w:val="0"/>
        <w:jc w:val="center"/>
        <w:rPr>
          <w:sz w:val="22"/>
          <w:szCs w:val="22"/>
        </w:rPr>
      </w:pPr>
    </w:p>
    <w:p w:rsidR="0072691F" w:rsidRPr="0072691F" w:rsidRDefault="0072691F" w:rsidP="0072691F">
      <w:pPr>
        <w:widowControl w:val="0"/>
        <w:jc w:val="center"/>
        <w:rPr>
          <w:sz w:val="24"/>
          <w:szCs w:val="24"/>
        </w:rPr>
      </w:pPr>
      <w:r w:rsidRPr="0072691F">
        <w:rPr>
          <w:sz w:val="24"/>
          <w:szCs w:val="24"/>
        </w:rPr>
        <w:t>700 Universe Boulevard, JES/JB</w:t>
      </w:r>
    </w:p>
    <w:p w:rsidR="00194AA6" w:rsidRPr="002A4069" w:rsidRDefault="0072691F" w:rsidP="0072691F">
      <w:pPr>
        <w:widowControl w:val="0"/>
        <w:jc w:val="center"/>
        <w:rPr>
          <w:sz w:val="24"/>
          <w:szCs w:val="24"/>
        </w:rPr>
      </w:pPr>
      <w:r w:rsidRPr="0072691F">
        <w:rPr>
          <w:sz w:val="24"/>
          <w:szCs w:val="24"/>
        </w:rPr>
        <w:t>Juno Beach, FL 33408</w:t>
      </w:r>
    </w:p>
    <w:p w:rsidR="00194AA6" w:rsidRPr="008257EF" w:rsidRDefault="00194AA6" w:rsidP="00194AA6">
      <w:pPr>
        <w:widowControl w:val="0"/>
        <w:jc w:val="center"/>
        <w:rPr>
          <w:sz w:val="22"/>
          <w:szCs w:val="22"/>
        </w:rPr>
      </w:pPr>
    </w:p>
    <w:p w:rsidR="0072691F" w:rsidRPr="0072691F" w:rsidRDefault="0072691F" w:rsidP="0072691F">
      <w:pPr>
        <w:jc w:val="center"/>
        <w:rPr>
          <w:sz w:val="22"/>
          <w:szCs w:val="22"/>
        </w:rPr>
      </w:pPr>
      <w:r w:rsidRPr="0072691F">
        <w:rPr>
          <w:sz w:val="22"/>
          <w:szCs w:val="22"/>
        </w:rPr>
        <w:t>Fort Myers Plant</w:t>
      </w:r>
    </w:p>
    <w:p w:rsidR="0072691F" w:rsidRPr="0072691F" w:rsidRDefault="0072691F" w:rsidP="0072691F">
      <w:pPr>
        <w:jc w:val="center"/>
        <w:rPr>
          <w:sz w:val="22"/>
          <w:szCs w:val="22"/>
        </w:rPr>
      </w:pPr>
      <w:r w:rsidRPr="0072691F">
        <w:rPr>
          <w:sz w:val="22"/>
          <w:szCs w:val="22"/>
        </w:rPr>
        <w:t>ARMS Facility ID No. 0710002</w:t>
      </w:r>
    </w:p>
    <w:p w:rsidR="00194AA6" w:rsidRPr="008257EF" w:rsidRDefault="00194AA6" w:rsidP="00194AA6">
      <w:pPr>
        <w:jc w:val="center"/>
        <w:rPr>
          <w:sz w:val="22"/>
          <w:szCs w:val="22"/>
        </w:rPr>
      </w:pPr>
    </w:p>
    <w:p w:rsidR="00194AA6" w:rsidRPr="008257EF" w:rsidRDefault="00194AA6" w:rsidP="00194AA6">
      <w:pPr>
        <w:jc w:val="center"/>
        <w:rPr>
          <w:sz w:val="22"/>
        </w:rPr>
      </w:pPr>
    </w:p>
    <w:p w:rsidR="00194AA6" w:rsidRPr="008257EF" w:rsidRDefault="00194AA6" w:rsidP="00194AA6">
      <w:pPr>
        <w:jc w:val="center"/>
        <w:rPr>
          <w:sz w:val="22"/>
        </w:rPr>
      </w:pPr>
    </w:p>
    <w:p w:rsidR="00193F10" w:rsidRPr="008257EF" w:rsidRDefault="00193F10" w:rsidP="00194AA6">
      <w:pPr>
        <w:pStyle w:val="Heading4"/>
        <w:spacing w:after="120"/>
        <w:rPr>
          <w:bCs/>
        </w:rPr>
      </w:pPr>
      <w:r w:rsidRPr="008257EF">
        <w:rPr>
          <w:bCs/>
        </w:rPr>
        <w:t>PROJECT</w:t>
      </w:r>
    </w:p>
    <w:p w:rsidR="00193F10" w:rsidRPr="002A4069" w:rsidRDefault="00193F10" w:rsidP="00194AA6">
      <w:pPr>
        <w:pStyle w:val="Heading1"/>
        <w:spacing w:after="0"/>
        <w:ind w:left="0"/>
        <w:jc w:val="center"/>
        <w:rPr>
          <w:sz w:val="24"/>
          <w:szCs w:val="24"/>
        </w:rPr>
      </w:pPr>
      <w:r w:rsidRPr="002A4069">
        <w:rPr>
          <w:sz w:val="24"/>
          <w:szCs w:val="24"/>
        </w:rPr>
        <w:t>P</w:t>
      </w:r>
      <w:r w:rsidR="00194AA6" w:rsidRPr="002A4069">
        <w:rPr>
          <w:sz w:val="24"/>
          <w:szCs w:val="24"/>
        </w:rPr>
        <w:t>roject</w:t>
      </w:r>
      <w:r w:rsidRPr="002A4069">
        <w:rPr>
          <w:sz w:val="24"/>
          <w:szCs w:val="24"/>
        </w:rPr>
        <w:t xml:space="preserve"> No. </w:t>
      </w:r>
      <w:r w:rsidR="0072691F" w:rsidRPr="0072691F">
        <w:rPr>
          <w:sz w:val="24"/>
          <w:szCs w:val="24"/>
        </w:rPr>
        <w:t>0710002-02</w:t>
      </w:r>
      <w:r w:rsidR="00AD596D">
        <w:rPr>
          <w:sz w:val="24"/>
          <w:szCs w:val="24"/>
        </w:rPr>
        <w:t>1</w:t>
      </w:r>
      <w:r w:rsidR="0072691F" w:rsidRPr="0072691F">
        <w:rPr>
          <w:sz w:val="24"/>
          <w:szCs w:val="24"/>
        </w:rPr>
        <w:t>-</w:t>
      </w:r>
      <w:r w:rsidR="008603FF" w:rsidRPr="002A4069">
        <w:rPr>
          <w:sz w:val="24"/>
          <w:szCs w:val="24"/>
        </w:rPr>
        <w:t>AC</w:t>
      </w:r>
    </w:p>
    <w:p w:rsidR="00194AA6" w:rsidRPr="002A4069" w:rsidRDefault="00194AA6" w:rsidP="00194AA6">
      <w:pPr>
        <w:jc w:val="center"/>
        <w:rPr>
          <w:sz w:val="24"/>
          <w:szCs w:val="24"/>
        </w:rPr>
      </w:pPr>
      <w:r w:rsidRPr="002A4069">
        <w:rPr>
          <w:sz w:val="24"/>
          <w:szCs w:val="24"/>
        </w:rPr>
        <w:t xml:space="preserve">Application for </w:t>
      </w:r>
      <w:r w:rsidR="008603FF" w:rsidRPr="002A4069">
        <w:rPr>
          <w:sz w:val="24"/>
          <w:szCs w:val="24"/>
        </w:rPr>
        <w:t xml:space="preserve">Minor Source </w:t>
      </w:r>
      <w:r w:rsidRPr="002A4069">
        <w:rPr>
          <w:sz w:val="24"/>
          <w:szCs w:val="24"/>
        </w:rPr>
        <w:t>Air Construction Permit</w:t>
      </w:r>
    </w:p>
    <w:p w:rsidR="00193F10" w:rsidRPr="002A4069" w:rsidRDefault="0072691F" w:rsidP="00194AA6">
      <w:pPr>
        <w:jc w:val="center"/>
        <w:rPr>
          <w:sz w:val="24"/>
          <w:szCs w:val="24"/>
        </w:rPr>
      </w:pPr>
      <w:r w:rsidRPr="0072691F">
        <w:rPr>
          <w:sz w:val="24"/>
          <w:szCs w:val="24"/>
        </w:rPr>
        <w:t>Upgrade of Combined Cycle Combustion Turbines</w:t>
      </w:r>
    </w:p>
    <w:p w:rsidR="00193F10" w:rsidRDefault="00193F10" w:rsidP="00194AA6">
      <w:pPr>
        <w:jc w:val="center"/>
        <w:rPr>
          <w:sz w:val="22"/>
        </w:rPr>
      </w:pPr>
    </w:p>
    <w:p w:rsidR="008257EF" w:rsidRDefault="008257EF" w:rsidP="00194AA6">
      <w:pPr>
        <w:jc w:val="center"/>
        <w:rPr>
          <w:sz w:val="22"/>
        </w:rPr>
      </w:pPr>
    </w:p>
    <w:p w:rsidR="00193F10" w:rsidRDefault="00193F10" w:rsidP="00194AA6">
      <w:pPr>
        <w:jc w:val="center"/>
        <w:rPr>
          <w:sz w:val="22"/>
        </w:rPr>
      </w:pPr>
    </w:p>
    <w:p w:rsidR="00193F10" w:rsidRPr="002A4069" w:rsidRDefault="00193F10" w:rsidP="00194AA6">
      <w:pPr>
        <w:pStyle w:val="Heading4"/>
        <w:spacing w:after="120"/>
        <w:rPr>
          <w:bCs/>
          <w:sz w:val="24"/>
          <w:szCs w:val="24"/>
        </w:rPr>
      </w:pPr>
      <w:r w:rsidRPr="002A4069">
        <w:rPr>
          <w:bCs/>
          <w:sz w:val="24"/>
          <w:szCs w:val="24"/>
        </w:rPr>
        <w:t>COUNTY</w:t>
      </w:r>
    </w:p>
    <w:p w:rsidR="00193F10" w:rsidRPr="002A4069" w:rsidRDefault="0072691F" w:rsidP="00194AA6">
      <w:pPr>
        <w:jc w:val="center"/>
        <w:rPr>
          <w:sz w:val="24"/>
          <w:szCs w:val="24"/>
        </w:rPr>
      </w:pPr>
      <w:r>
        <w:rPr>
          <w:sz w:val="24"/>
          <w:szCs w:val="24"/>
        </w:rPr>
        <w:t>Lee</w:t>
      </w:r>
      <w:r w:rsidR="001D487F" w:rsidRPr="002A4069">
        <w:rPr>
          <w:sz w:val="24"/>
          <w:szCs w:val="24"/>
        </w:rPr>
        <w:t>, Florida</w:t>
      </w:r>
    </w:p>
    <w:p w:rsidR="00193F10" w:rsidRDefault="00193F10" w:rsidP="00194AA6">
      <w:pPr>
        <w:jc w:val="center"/>
        <w:rPr>
          <w:sz w:val="22"/>
          <w:u w:val="single"/>
        </w:rPr>
      </w:pPr>
    </w:p>
    <w:p w:rsidR="00193F10" w:rsidRDefault="00193F10" w:rsidP="00194AA6">
      <w:pPr>
        <w:jc w:val="center"/>
        <w:rPr>
          <w:sz w:val="22"/>
          <w:u w:val="single"/>
        </w:rPr>
      </w:pPr>
    </w:p>
    <w:p w:rsidR="00193F10" w:rsidRDefault="00193F10" w:rsidP="00194AA6">
      <w:pPr>
        <w:jc w:val="center"/>
        <w:rPr>
          <w:sz w:val="22"/>
        </w:rPr>
      </w:pPr>
    </w:p>
    <w:p w:rsidR="00193F10" w:rsidRPr="002A4069" w:rsidRDefault="00193F10" w:rsidP="00194AA6">
      <w:pPr>
        <w:pStyle w:val="Heading8"/>
        <w:jc w:val="center"/>
        <w:rPr>
          <w:sz w:val="24"/>
          <w:szCs w:val="24"/>
        </w:rPr>
      </w:pPr>
      <w:r w:rsidRPr="002A4069">
        <w:rPr>
          <w:sz w:val="24"/>
          <w:szCs w:val="24"/>
        </w:rPr>
        <w:t>PERMITTING</w:t>
      </w:r>
      <w:r w:rsidR="001D487F" w:rsidRPr="002A4069">
        <w:rPr>
          <w:sz w:val="24"/>
          <w:szCs w:val="24"/>
        </w:rPr>
        <w:t xml:space="preserve"> </w:t>
      </w:r>
      <w:r w:rsidRPr="002A4069">
        <w:rPr>
          <w:sz w:val="24"/>
          <w:szCs w:val="24"/>
        </w:rPr>
        <w:t>AUTHORITY</w:t>
      </w:r>
    </w:p>
    <w:p w:rsidR="00194AA6" w:rsidRPr="002A4069" w:rsidRDefault="00194AA6" w:rsidP="00194AA6">
      <w:pPr>
        <w:widowControl w:val="0"/>
        <w:jc w:val="center"/>
        <w:rPr>
          <w:sz w:val="24"/>
          <w:szCs w:val="24"/>
        </w:rPr>
      </w:pPr>
      <w:r w:rsidRPr="002A4069">
        <w:rPr>
          <w:sz w:val="24"/>
          <w:szCs w:val="24"/>
        </w:rPr>
        <w:t>Florida Department of Environmental Protection</w:t>
      </w:r>
    </w:p>
    <w:p w:rsidR="00194AA6" w:rsidRPr="002A4069" w:rsidRDefault="00194AA6" w:rsidP="00194AA6">
      <w:pPr>
        <w:widowControl w:val="0"/>
        <w:jc w:val="center"/>
        <w:rPr>
          <w:sz w:val="24"/>
          <w:szCs w:val="24"/>
        </w:rPr>
      </w:pPr>
      <w:r w:rsidRPr="002A4069">
        <w:rPr>
          <w:sz w:val="24"/>
          <w:szCs w:val="24"/>
        </w:rPr>
        <w:t>Division of Air Resource Management</w:t>
      </w:r>
    </w:p>
    <w:p w:rsidR="00194AA6" w:rsidRPr="002A4069" w:rsidRDefault="00E13B57" w:rsidP="00194AA6">
      <w:pPr>
        <w:widowControl w:val="0"/>
        <w:jc w:val="center"/>
        <w:rPr>
          <w:sz w:val="24"/>
          <w:szCs w:val="24"/>
        </w:rPr>
      </w:pPr>
      <w:r w:rsidRPr="002A4069">
        <w:rPr>
          <w:sz w:val="24"/>
          <w:szCs w:val="24"/>
        </w:rPr>
        <w:t>Office of permitting and Compliance</w:t>
      </w:r>
    </w:p>
    <w:p w:rsidR="00194AA6" w:rsidRPr="002A4069" w:rsidRDefault="00194AA6" w:rsidP="00194AA6">
      <w:pPr>
        <w:widowControl w:val="0"/>
        <w:jc w:val="center"/>
        <w:rPr>
          <w:sz w:val="24"/>
          <w:szCs w:val="24"/>
        </w:rPr>
      </w:pPr>
      <w:r w:rsidRPr="002A4069">
        <w:rPr>
          <w:sz w:val="24"/>
          <w:szCs w:val="24"/>
        </w:rPr>
        <w:t>2600 Blair Stone Road, MS#5505</w:t>
      </w:r>
    </w:p>
    <w:p w:rsidR="00194AA6" w:rsidRPr="002A4069" w:rsidRDefault="00194AA6" w:rsidP="00194AA6">
      <w:pPr>
        <w:widowControl w:val="0"/>
        <w:jc w:val="center"/>
        <w:rPr>
          <w:sz w:val="24"/>
          <w:szCs w:val="24"/>
        </w:rPr>
      </w:pPr>
      <w:r w:rsidRPr="002A4069">
        <w:rPr>
          <w:sz w:val="24"/>
          <w:szCs w:val="24"/>
        </w:rPr>
        <w:t>Tallahassee, Florida  32399-2400</w:t>
      </w: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2A4069" w:rsidRDefault="0098733E" w:rsidP="00194AA6">
      <w:pPr>
        <w:jc w:val="center"/>
        <w:rPr>
          <w:sz w:val="24"/>
          <w:szCs w:val="24"/>
        </w:rPr>
      </w:pPr>
      <w:r>
        <w:rPr>
          <w:sz w:val="24"/>
          <w:szCs w:val="24"/>
        </w:rPr>
        <w:t xml:space="preserve">January </w:t>
      </w:r>
      <w:r w:rsidR="00B7787C">
        <w:rPr>
          <w:sz w:val="24"/>
          <w:szCs w:val="24"/>
        </w:rPr>
        <w:t>1</w:t>
      </w:r>
      <w:r w:rsidR="00634733">
        <w:rPr>
          <w:sz w:val="24"/>
          <w:szCs w:val="24"/>
        </w:rPr>
        <w:t>3</w:t>
      </w:r>
      <w:r w:rsidR="00A04062" w:rsidRPr="002A4069">
        <w:rPr>
          <w:sz w:val="24"/>
          <w:szCs w:val="24"/>
        </w:rPr>
        <w:t>,</w:t>
      </w:r>
      <w:r w:rsidR="006A0424" w:rsidRPr="002A4069">
        <w:rPr>
          <w:sz w:val="24"/>
          <w:szCs w:val="24"/>
        </w:rPr>
        <w:t xml:space="preserve"> </w:t>
      </w:r>
      <w:r w:rsidR="00D5562A" w:rsidRPr="002A4069">
        <w:rPr>
          <w:sz w:val="24"/>
          <w:szCs w:val="24"/>
        </w:rPr>
        <w:t>20</w:t>
      </w:r>
      <w:r w:rsidR="00E13B57" w:rsidRPr="002A4069">
        <w:rPr>
          <w:sz w:val="24"/>
          <w:szCs w:val="24"/>
        </w:rPr>
        <w:t>1</w:t>
      </w:r>
      <w:r w:rsidR="0072691F">
        <w:rPr>
          <w:sz w:val="24"/>
          <w:szCs w:val="24"/>
        </w:rPr>
        <w:t>5</w:t>
      </w:r>
    </w:p>
    <w:p w:rsidR="00193F10" w:rsidRPr="00D07B72" w:rsidRDefault="00193F10" w:rsidP="00194AA6">
      <w:pPr>
        <w:jc w:val="center"/>
        <w:rPr>
          <w:sz w:val="22"/>
          <w:szCs w:val="22"/>
        </w:rPr>
      </w:pPr>
    </w:p>
    <w:p w:rsidR="00193F10" w:rsidRDefault="00193F10">
      <w:pPr>
        <w:jc w:val="center"/>
        <w:rPr>
          <w:sz w:val="22"/>
        </w:rPr>
        <w:sectPr w:rsidR="00193F10" w:rsidSect="002B38F1">
          <w:footerReference w:type="default" r:id="rId9"/>
          <w:pgSz w:w="12240" w:h="15840" w:code="1"/>
          <w:pgMar w:top="720" w:right="1080" w:bottom="720" w:left="1080" w:header="720" w:footer="720" w:gutter="0"/>
          <w:paperSrc w:first="15" w:other="15"/>
          <w:pgNumType w:start="1"/>
          <w:cols w:space="720"/>
          <w:titlePg/>
          <w:docGrid w:linePitch="272"/>
        </w:sectPr>
      </w:pPr>
    </w:p>
    <w:p w:rsidR="00E13B57" w:rsidRDefault="00E13B57" w:rsidP="00397A7D">
      <w:pPr>
        <w:pStyle w:val="ListParagraph"/>
        <w:numPr>
          <w:ilvl w:val="0"/>
          <w:numId w:val="1"/>
        </w:numPr>
        <w:tabs>
          <w:tab w:val="left" w:pos="450"/>
        </w:tabs>
        <w:spacing w:after="120"/>
        <w:ind w:left="450" w:hanging="450"/>
        <w:contextualSpacing w:val="0"/>
        <w:rPr>
          <w:b/>
          <w:caps/>
          <w:sz w:val="22"/>
        </w:rPr>
      </w:pPr>
      <w:r w:rsidRPr="00E86B86">
        <w:rPr>
          <w:b/>
          <w:caps/>
          <w:sz w:val="22"/>
        </w:rPr>
        <w:lastRenderedPageBreak/>
        <w:t>General Project INFORMATION</w:t>
      </w:r>
    </w:p>
    <w:p w:rsidR="00E13B57" w:rsidRPr="008E145E" w:rsidRDefault="00E13B57" w:rsidP="00397A7D">
      <w:pPr>
        <w:pStyle w:val="ListParagraph"/>
        <w:numPr>
          <w:ilvl w:val="1"/>
          <w:numId w:val="1"/>
        </w:numPr>
        <w:tabs>
          <w:tab w:val="left" w:pos="450"/>
        </w:tabs>
        <w:spacing w:after="120"/>
        <w:ind w:left="450" w:hanging="450"/>
        <w:rPr>
          <w:b/>
          <w:bCs/>
          <w:sz w:val="22"/>
          <w:szCs w:val="22"/>
        </w:rPr>
      </w:pPr>
      <w:r w:rsidRPr="008E145E">
        <w:rPr>
          <w:b/>
          <w:bCs/>
          <w:sz w:val="22"/>
          <w:szCs w:val="22"/>
        </w:rPr>
        <w:t>A</w:t>
      </w:r>
      <w:r>
        <w:rPr>
          <w:b/>
          <w:bCs/>
          <w:sz w:val="22"/>
          <w:szCs w:val="22"/>
        </w:rPr>
        <w:t>ir Pollution Regulations</w:t>
      </w:r>
    </w:p>
    <w:p w:rsidR="00E13B57" w:rsidRPr="0012634A" w:rsidRDefault="00E13B57" w:rsidP="009826BE">
      <w:pPr>
        <w:spacing w:after="120"/>
        <w:rPr>
          <w:sz w:val="22"/>
          <w:szCs w:val="22"/>
        </w:rPr>
      </w:pPr>
      <w:r w:rsidRPr="0012634A">
        <w:rPr>
          <w:sz w:val="22"/>
          <w:szCs w:val="22"/>
        </w:rPr>
        <w:t>Projects at stationary sources with the potential to emit air pollution are subject to the applicable environmental laws specified in Section 403 of the Florida Statutes (F.S.).  The statutes authorize the Department of Environmental Protection (Department) to establish regulations regarding air quality as part of the Florida Administrative Code (F.A.C.), which includes the following applicable chapters:  62-4 (Permits); 62-204 (Air Pollution Control – General Provisions); 62-210 (Stationary Sources – General Requirements); 62-212 (Stationary Sources – Preconstruction Review); 62-213 (Operation Permits for Major Sources of Air Pollution); 62-296 (Stationary Sources - Emission Standards); and 62-297 (Stationary Sources – Emissions Monitoring).  Specifically, air construction permits are required pursuant to Chapters 62-4, 62-210 and 62-212, F.A.C.</w:t>
      </w:r>
    </w:p>
    <w:p w:rsidR="00E13B57" w:rsidRPr="0012634A" w:rsidRDefault="00E13B57" w:rsidP="009826BE">
      <w:pPr>
        <w:spacing w:after="120"/>
        <w:rPr>
          <w:sz w:val="22"/>
          <w:szCs w:val="22"/>
        </w:rPr>
      </w:pPr>
      <w:r w:rsidRPr="0012634A">
        <w:rPr>
          <w:sz w:val="22"/>
          <w:szCs w:val="22"/>
        </w:rPr>
        <w:t xml:space="preserve">In addition, the U. S. Environmental Protection Agency (EPA) establishes air quality regulations in Title 40 of the Code of Federal Regulations (CFR).  Part 60 specifies New Source Performance Standards (NSPS) for numerous industrial categories.  Part 61 specifies National Emission Standards for Hazardous Air Pollutants (NESHAP) based on specific pollutants.  Part 63 specifies NESHAP based on the Maximum Achievable Control Technology (MACT) for numerous industrial categories.  The Department adopts these federal regulations in Rule </w:t>
      </w:r>
      <w:r w:rsidR="00E95FE8">
        <w:rPr>
          <w:sz w:val="22"/>
          <w:szCs w:val="22"/>
        </w:rPr>
        <w:br/>
      </w:r>
      <w:r w:rsidRPr="0012634A">
        <w:rPr>
          <w:sz w:val="22"/>
          <w:szCs w:val="22"/>
        </w:rPr>
        <w:t>62-204.800, F.A.C.</w:t>
      </w:r>
    </w:p>
    <w:p w:rsidR="00E95FE8" w:rsidRPr="008E145E" w:rsidRDefault="00E95FE8" w:rsidP="00397A7D">
      <w:pPr>
        <w:pStyle w:val="ListParagraph"/>
        <w:numPr>
          <w:ilvl w:val="1"/>
          <w:numId w:val="1"/>
        </w:numPr>
        <w:tabs>
          <w:tab w:val="left" w:pos="450"/>
        </w:tabs>
        <w:spacing w:after="120"/>
        <w:ind w:left="450" w:hanging="450"/>
        <w:rPr>
          <w:b/>
          <w:bCs/>
          <w:sz w:val="22"/>
          <w:szCs w:val="22"/>
        </w:rPr>
      </w:pPr>
      <w:bookmarkStart w:id="0" w:name="_Ref404628697"/>
      <w:r w:rsidRPr="008E145E">
        <w:rPr>
          <w:b/>
          <w:bCs/>
          <w:sz w:val="22"/>
          <w:szCs w:val="22"/>
        </w:rPr>
        <w:t>Fa</w:t>
      </w:r>
      <w:r>
        <w:rPr>
          <w:b/>
          <w:bCs/>
          <w:sz w:val="22"/>
          <w:szCs w:val="22"/>
        </w:rPr>
        <w:t>cility Description and Location</w:t>
      </w:r>
      <w:bookmarkEnd w:id="0"/>
    </w:p>
    <w:p w:rsidR="00780B3E" w:rsidRDefault="00780B3E" w:rsidP="0089010F">
      <w:pPr>
        <w:spacing w:after="120"/>
        <w:rPr>
          <w:sz w:val="22"/>
          <w:szCs w:val="22"/>
        </w:rPr>
      </w:pPr>
      <w:r>
        <w:rPr>
          <w:sz w:val="22"/>
          <w:szCs w:val="22"/>
        </w:rPr>
        <w:t>Refer to</w:t>
      </w:r>
      <w:r w:rsidRPr="0072691F">
        <w:rPr>
          <w:sz w:val="22"/>
          <w:szCs w:val="22"/>
        </w:rPr>
        <w:t xml:space="preserve"> </w:t>
      </w:r>
      <w:r w:rsidR="00BA5A58">
        <w:fldChar w:fldCharType="begin"/>
      </w:r>
      <w:r w:rsidR="00BA5A58">
        <w:instrText xml:space="preserve"> REF _Ref394051661 \h  \* MERGEFORMAT </w:instrText>
      </w:r>
      <w:r w:rsidR="00BA5A58">
        <w:fldChar w:fldCharType="separate"/>
      </w:r>
      <w:r w:rsidR="00A834F3" w:rsidRPr="00A834F3">
        <w:rPr>
          <w:b/>
          <w:sz w:val="22"/>
          <w:szCs w:val="22"/>
        </w:rPr>
        <w:t>Figure 1</w:t>
      </w:r>
      <w:r w:rsidR="00BA5A58">
        <w:fldChar w:fldCharType="end"/>
      </w:r>
      <w:r>
        <w:t xml:space="preserve">.  </w:t>
      </w:r>
      <w:r w:rsidR="0072691F" w:rsidRPr="0072691F">
        <w:rPr>
          <w:sz w:val="22"/>
          <w:szCs w:val="22"/>
        </w:rPr>
        <w:t>The Florida Power &amp; Light Company (FPL) operates the existing Fort Myers Plant which is located within unincorporated Lee County, Florida</w:t>
      </w:r>
      <w:r w:rsidR="00511B9D">
        <w:rPr>
          <w:sz w:val="22"/>
          <w:szCs w:val="22"/>
        </w:rPr>
        <w:t xml:space="preserve">. </w:t>
      </w:r>
      <w:r w:rsidR="0072691F" w:rsidRPr="0072691F">
        <w:rPr>
          <w:sz w:val="22"/>
          <w:szCs w:val="22"/>
        </w:rPr>
        <w:t xml:space="preserve"> </w:t>
      </w:r>
      <w:r>
        <w:rPr>
          <w:sz w:val="22"/>
          <w:szCs w:val="22"/>
        </w:rPr>
        <w:t>Refer to</w:t>
      </w:r>
      <w:r w:rsidR="00BA5A58">
        <w:fldChar w:fldCharType="begin"/>
      </w:r>
      <w:r w:rsidR="00BA5A58">
        <w:instrText xml:space="preserve"> REF _Ref404171233 \h  \* MERGEFORMAT </w:instrText>
      </w:r>
      <w:r w:rsidR="00BA5A58">
        <w:fldChar w:fldCharType="separate"/>
      </w:r>
      <w:r w:rsidR="00A834F3" w:rsidRPr="00A834F3">
        <w:rPr>
          <w:sz w:val="22"/>
          <w:szCs w:val="22"/>
        </w:rPr>
        <w:t>.</w:t>
      </w:r>
      <w:r w:rsidR="00A834F3" w:rsidRPr="00A834F3">
        <w:rPr>
          <w:b/>
          <w:sz w:val="22"/>
          <w:szCs w:val="22"/>
        </w:rPr>
        <w:tab/>
      </w:r>
      <w:r w:rsidR="00A834F3" w:rsidRPr="00A834F3">
        <w:rPr>
          <w:b/>
          <w:caps/>
        </w:rPr>
        <w:t xml:space="preserve">Figure </w:t>
      </w:r>
      <w:r w:rsidR="00A834F3">
        <w:rPr>
          <w:noProof/>
        </w:rPr>
        <w:t>2</w:t>
      </w:r>
      <w:r w:rsidR="00BA5A58">
        <w:fldChar w:fldCharType="end"/>
      </w:r>
      <w:r>
        <w:rPr>
          <w:sz w:val="22"/>
          <w:szCs w:val="22"/>
        </w:rPr>
        <w:t xml:space="preserve">.  </w:t>
      </w:r>
      <w:r w:rsidR="0072691F" w:rsidRPr="0072691F">
        <w:rPr>
          <w:sz w:val="22"/>
          <w:szCs w:val="22"/>
        </w:rPr>
        <w:t>The facility is located</w:t>
      </w:r>
      <w:r>
        <w:rPr>
          <w:sz w:val="22"/>
          <w:szCs w:val="22"/>
        </w:rPr>
        <w:t xml:space="preserve"> at 10650 Palm Beach Boulevard</w:t>
      </w:r>
      <w:r w:rsidR="0072691F" w:rsidRPr="0072691F">
        <w:rPr>
          <w:sz w:val="22"/>
          <w:szCs w:val="22"/>
        </w:rPr>
        <w:t xml:space="preserve">, Fort Myers, Florida.  </w:t>
      </w:r>
      <w:r>
        <w:rPr>
          <w:sz w:val="22"/>
          <w:szCs w:val="22"/>
        </w:rPr>
        <w:t>The facility is located on the south side of the Caloosahatchee River, approximately 1</w:t>
      </w:r>
      <w:r w:rsidR="00AB7DF3">
        <w:rPr>
          <w:sz w:val="22"/>
          <w:szCs w:val="22"/>
        </w:rPr>
        <w:t>.5 kilometers</w:t>
      </w:r>
      <w:r>
        <w:rPr>
          <w:sz w:val="22"/>
          <w:szCs w:val="22"/>
        </w:rPr>
        <w:t xml:space="preserve"> east of I-75</w:t>
      </w:r>
      <w:r w:rsidR="00324BF4">
        <w:rPr>
          <w:sz w:val="22"/>
          <w:szCs w:val="22"/>
        </w:rPr>
        <w:t xml:space="preserve"> (view in </w:t>
      </w:r>
      <w:r w:rsidR="00BA5A58">
        <w:fldChar w:fldCharType="begin"/>
      </w:r>
      <w:r w:rsidR="00BA5A58">
        <w:instrText xml:space="preserve"> REF _Ref407540997 \h  \* MERGEFORMAT </w:instrText>
      </w:r>
      <w:r w:rsidR="00BA5A58">
        <w:fldChar w:fldCharType="separate"/>
      </w:r>
      <w:r w:rsidR="00A834F3" w:rsidRPr="00A834F3">
        <w:rPr>
          <w:b/>
          <w:sz w:val="22"/>
          <w:szCs w:val="22"/>
        </w:rPr>
        <w:t>Figure</w:t>
      </w:r>
      <w:r w:rsidR="00A834F3" w:rsidRPr="00A834F3">
        <w:rPr>
          <w:b/>
          <w:caps/>
        </w:rPr>
        <w:t xml:space="preserve"> 3</w:t>
      </w:r>
      <w:r w:rsidR="00BA5A58">
        <w:fldChar w:fldCharType="end"/>
      </w:r>
      <w:r w:rsidR="00324BF4">
        <w:rPr>
          <w:sz w:val="22"/>
          <w:szCs w:val="22"/>
        </w:rPr>
        <w:t xml:space="preserve">), </w:t>
      </w:r>
      <w:r>
        <w:rPr>
          <w:sz w:val="22"/>
          <w:szCs w:val="22"/>
        </w:rPr>
        <w:t>north of State Road 80 (SR 80).</w:t>
      </w:r>
    </w:p>
    <w:p w:rsidR="0089010F" w:rsidRPr="00DE390F" w:rsidRDefault="00634733" w:rsidP="00BD51B1">
      <w:pPr>
        <w:pStyle w:val="BodyText3"/>
        <w:widowControl w:val="0"/>
        <w:tabs>
          <w:tab w:val="left" w:pos="5310"/>
        </w:tabs>
        <w:spacing w:before="0" w:after="60"/>
        <w:jc w:val="both"/>
        <w:rPr>
          <w:szCs w:val="22"/>
        </w:rPr>
      </w:pPr>
      <w:r>
        <w:rPr>
          <w:noProof/>
        </w:rPr>
        <w:pict>
          <v:shapetype id="_x0000_t202" coordsize="21600,21600" o:spt="202" path="m,l,21600r21600,l21600,xe">
            <v:stroke joinstyle="miter"/>
            <v:path gradientshapeok="t" o:connecttype="rect"/>
          </v:shapetype>
          <v:shape id="_x0000_s1061" type="#_x0000_t202" style="position:absolute;left:0;text-align:left;margin-left:46.75pt;margin-top:155.4pt;width:61.7pt;height:15.25pt;z-index:251707392;visibility:visible;mso-height-percent:200;mso-wrap-distance-top:3.6pt;mso-wrap-distance-bottom:3.6pt;mso-height-percent:200;mso-width-relative:margin;mso-height-relative:margin" fillcolor="white [3212]" stroked="f">
            <v:textbox style="mso-next-textbox:#_x0000_s1061;mso-fit-shape-to-text:t">
              <w:txbxContent>
                <w:p w:rsidR="00A834F3" w:rsidRPr="00511B9D" w:rsidRDefault="00A834F3" w:rsidP="001C4A3E">
                  <w:pPr>
                    <w:jc w:val="right"/>
                    <w:rPr>
                      <w:rFonts w:ascii="Arial" w:hAnsi="Arial" w:cs="Arial"/>
                      <w:b/>
                      <w:smallCaps/>
                      <w:color w:val="FF0000"/>
                      <w:sz w:val="14"/>
                      <w:szCs w:val="14"/>
                    </w:rPr>
                  </w:pPr>
                  <w:r w:rsidRPr="00511B9D">
                    <w:rPr>
                      <w:rFonts w:ascii="Arial" w:hAnsi="Arial" w:cs="Arial"/>
                      <w:b/>
                      <w:smallCaps/>
                      <w:color w:val="FF0000"/>
                      <w:sz w:val="14"/>
                      <w:szCs w:val="14"/>
                    </w:rPr>
                    <w:t>Ft. Myers</w:t>
                  </w:r>
                </w:p>
              </w:txbxContent>
            </v:textbox>
          </v:shape>
        </w:pict>
      </w:r>
      <w:r w:rsidR="0072691F">
        <w:rPr>
          <w:noProof/>
        </w:rPr>
        <w:drawing>
          <wp:inline distT="0" distB="0" distL="0" distR="0">
            <wp:extent cx="2739968" cy="2602245"/>
            <wp:effectExtent l="19050" t="19050" r="22282" b="26655"/>
            <wp:docPr id="2" name="Picture 2" descr="C:\Users\axmpxl\Desktop\FPL Pl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xmpxl\Desktop\FPL Plants.png"/>
                    <pic:cNvPicPr>
                      <a:picLocks noChangeAspect="1" noChangeArrowheads="1"/>
                    </pic:cNvPicPr>
                  </pic:nvPicPr>
                  <pic:blipFill>
                    <a:blip r:embed="rId10" cstate="print"/>
                    <a:srcRect l="4958" t="3272" r="4090" b="23313"/>
                    <a:stretch>
                      <a:fillRect/>
                    </a:stretch>
                  </pic:blipFill>
                  <pic:spPr bwMode="auto">
                    <a:xfrm>
                      <a:off x="0" y="0"/>
                      <a:ext cx="2743995" cy="2606070"/>
                    </a:xfrm>
                    <a:prstGeom prst="rect">
                      <a:avLst/>
                    </a:prstGeom>
                    <a:noFill/>
                    <a:ln w="19050">
                      <a:solidFill>
                        <a:schemeClr val="tx1"/>
                      </a:solidFill>
                      <a:miter lim="800000"/>
                      <a:headEnd/>
                      <a:tailEnd/>
                    </a:ln>
                  </pic:spPr>
                </pic:pic>
              </a:graphicData>
            </a:graphic>
          </wp:inline>
        </w:drawing>
      </w:r>
      <w:r w:rsidR="00780B3E">
        <w:rPr>
          <w:noProof/>
          <w:szCs w:val="22"/>
        </w:rPr>
        <w:t xml:space="preserve"> </w:t>
      </w:r>
      <w:r w:rsidR="00780B3E">
        <w:rPr>
          <w:noProof/>
        </w:rPr>
        <w:drawing>
          <wp:inline distT="0" distB="0" distL="0" distR="0">
            <wp:extent cx="3550967" cy="2617967"/>
            <wp:effectExtent l="19050" t="19050" r="11383" b="10933"/>
            <wp:docPr id="9" name="Picture 2" descr="C:\Users\axmpxl\Desktop\2014-12-28_1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xmpxl\Desktop\2014-12-28_1244.png"/>
                    <pic:cNvPicPr>
                      <a:picLocks noChangeAspect="1" noChangeArrowheads="1"/>
                    </pic:cNvPicPr>
                  </pic:nvPicPr>
                  <pic:blipFill>
                    <a:blip r:embed="rId11" cstate="print"/>
                    <a:srcRect/>
                    <a:stretch>
                      <a:fillRect/>
                    </a:stretch>
                  </pic:blipFill>
                  <pic:spPr bwMode="auto">
                    <a:xfrm>
                      <a:off x="0" y="0"/>
                      <a:ext cx="3562944" cy="2626797"/>
                    </a:xfrm>
                    <a:prstGeom prst="rect">
                      <a:avLst/>
                    </a:prstGeom>
                    <a:noFill/>
                    <a:ln w="19050">
                      <a:solidFill>
                        <a:schemeClr val="tx1"/>
                      </a:solidFill>
                      <a:miter lim="800000"/>
                      <a:headEnd/>
                      <a:tailEnd/>
                    </a:ln>
                  </pic:spPr>
                </pic:pic>
              </a:graphicData>
            </a:graphic>
          </wp:inline>
        </w:drawing>
      </w:r>
    </w:p>
    <w:p w:rsidR="0089010F" w:rsidRPr="00F77C4B" w:rsidRDefault="00B63150" w:rsidP="00AB7DF3">
      <w:pPr>
        <w:pStyle w:val="Caption"/>
        <w:tabs>
          <w:tab w:val="left" w:pos="4680"/>
        </w:tabs>
        <w:spacing w:before="120"/>
        <w:rPr>
          <w:caps w:val="0"/>
          <w:szCs w:val="22"/>
        </w:rPr>
      </w:pPr>
      <w:bookmarkStart w:id="1" w:name="_Ref394051661"/>
      <w:bookmarkStart w:id="2" w:name="_Ref390240502"/>
      <w:r w:rsidRPr="00F77C4B">
        <w:rPr>
          <w:caps w:val="0"/>
        </w:rPr>
        <w:t xml:space="preserve">Figure </w:t>
      </w:r>
      <w:r w:rsidR="00515AEA" w:rsidRPr="00F77C4B">
        <w:rPr>
          <w:caps w:val="0"/>
        </w:rPr>
        <w:fldChar w:fldCharType="begin"/>
      </w:r>
      <w:r w:rsidRPr="00F77C4B">
        <w:rPr>
          <w:caps w:val="0"/>
        </w:rPr>
        <w:instrText xml:space="preserve"> SEQ Figure \* ARABIC </w:instrText>
      </w:r>
      <w:r w:rsidR="00515AEA" w:rsidRPr="00F77C4B">
        <w:rPr>
          <w:caps w:val="0"/>
        </w:rPr>
        <w:fldChar w:fldCharType="separate"/>
      </w:r>
      <w:r w:rsidR="00A834F3">
        <w:rPr>
          <w:caps w:val="0"/>
          <w:noProof/>
        </w:rPr>
        <w:t>1</w:t>
      </w:r>
      <w:r w:rsidR="00515AEA" w:rsidRPr="00F77C4B">
        <w:rPr>
          <w:caps w:val="0"/>
        </w:rPr>
        <w:fldChar w:fldCharType="end"/>
      </w:r>
      <w:bookmarkEnd w:id="1"/>
      <w:r w:rsidRPr="00F77C4B">
        <w:rPr>
          <w:caps w:val="0"/>
        </w:rPr>
        <w:t xml:space="preserve">.  </w:t>
      </w:r>
      <w:bookmarkEnd w:id="2"/>
      <w:r w:rsidR="00AB7DF3">
        <w:rPr>
          <w:caps w:val="0"/>
        </w:rPr>
        <w:t xml:space="preserve">Fort Myers Plant </w:t>
      </w:r>
      <w:r w:rsidR="00CB506B" w:rsidRPr="00F77C4B">
        <w:rPr>
          <w:caps w:val="0"/>
        </w:rPr>
        <w:t xml:space="preserve">in </w:t>
      </w:r>
      <w:r w:rsidR="00AB7DF3">
        <w:rPr>
          <w:caps w:val="0"/>
        </w:rPr>
        <w:t xml:space="preserve">the FPL </w:t>
      </w:r>
      <w:r w:rsidR="0089010F" w:rsidRPr="00F77C4B">
        <w:rPr>
          <w:caps w:val="0"/>
          <w:szCs w:val="22"/>
        </w:rPr>
        <w:t>System</w:t>
      </w:r>
      <w:bookmarkStart w:id="3" w:name="_Ref404171233"/>
      <w:r w:rsidR="00AB7DF3">
        <w:rPr>
          <w:caps w:val="0"/>
          <w:szCs w:val="22"/>
        </w:rPr>
        <w:t>.</w:t>
      </w:r>
      <w:r w:rsidR="00AB7DF3">
        <w:rPr>
          <w:caps w:val="0"/>
          <w:szCs w:val="22"/>
        </w:rPr>
        <w:tab/>
      </w:r>
      <w:r w:rsidR="00CB506B" w:rsidRPr="00F77C4B">
        <w:rPr>
          <w:caps w:val="0"/>
        </w:rPr>
        <w:t xml:space="preserve">Figure </w:t>
      </w:r>
      <w:r w:rsidR="00515AEA">
        <w:fldChar w:fldCharType="begin"/>
      </w:r>
      <w:r w:rsidR="004004CD">
        <w:instrText xml:space="preserve"> SEQ Figure \* ARABIC </w:instrText>
      </w:r>
      <w:r w:rsidR="00515AEA">
        <w:fldChar w:fldCharType="separate"/>
      </w:r>
      <w:r w:rsidR="00A834F3">
        <w:rPr>
          <w:noProof/>
        </w:rPr>
        <w:t>2</w:t>
      </w:r>
      <w:r w:rsidR="00515AEA">
        <w:rPr>
          <w:noProof/>
        </w:rPr>
        <w:fldChar w:fldCharType="end"/>
      </w:r>
      <w:bookmarkEnd w:id="3"/>
      <w:r w:rsidR="00CB506B" w:rsidRPr="00F77C4B">
        <w:rPr>
          <w:caps w:val="0"/>
          <w:szCs w:val="22"/>
        </w:rPr>
        <w:t xml:space="preserve">.  </w:t>
      </w:r>
      <w:r w:rsidR="00AB7DF3">
        <w:rPr>
          <w:caps w:val="0"/>
          <w:szCs w:val="22"/>
        </w:rPr>
        <w:t xml:space="preserve">FPL Fort Myers Plant </w:t>
      </w:r>
      <w:r w:rsidR="0089010F" w:rsidRPr="00F77C4B">
        <w:rPr>
          <w:caps w:val="0"/>
          <w:szCs w:val="22"/>
        </w:rPr>
        <w:t>Location</w:t>
      </w:r>
      <w:r w:rsidR="00CB506B" w:rsidRPr="00F77C4B">
        <w:rPr>
          <w:caps w:val="0"/>
          <w:szCs w:val="22"/>
        </w:rPr>
        <w:t>, Environs</w:t>
      </w:r>
      <w:r w:rsidR="0089010F" w:rsidRPr="00F77C4B">
        <w:rPr>
          <w:caps w:val="0"/>
          <w:szCs w:val="22"/>
        </w:rPr>
        <w:t>.</w:t>
      </w:r>
    </w:p>
    <w:p w:rsidR="00324BF4" w:rsidRDefault="00324BF4" w:rsidP="00BD51B1">
      <w:pPr>
        <w:spacing w:after="60"/>
        <w:rPr>
          <w:sz w:val="22"/>
          <w:szCs w:val="22"/>
        </w:rPr>
      </w:pPr>
      <w:r>
        <w:rPr>
          <w:noProof/>
          <w:sz w:val="22"/>
          <w:szCs w:val="22"/>
        </w:rPr>
        <w:drawing>
          <wp:inline distT="0" distB="0" distL="0" distR="0">
            <wp:extent cx="4806576" cy="1261954"/>
            <wp:effectExtent l="19050" t="19050" r="13074" b="14396"/>
            <wp:docPr id="13" name="Picture 5" descr="C:\Users\axmpxl\Desktop\2014-12-28_1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xmpxl\Desktop\2014-12-28_1431.png"/>
                    <pic:cNvPicPr>
                      <a:picLocks noChangeAspect="1" noChangeArrowheads="1"/>
                    </pic:cNvPicPr>
                  </pic:nvPicPr>
                  <pic:blipFill>
                    <a:blip r:embed="rId12" cstate="print"/>
                    <a:srcRect t="28691" r="26114" b="40772"/>
                    <a:stretch>
                      <a:fillRect/>
                    </a:stretch>
                  </pic:blipFill>
                  <pic:spPr bwMode="auto">
                    <a:xfrm>
                      <a:off x="0" y="0"/>
                      <a:ext cx="4806516" cy="1261938"/>
                    </a:xfrm>
                    <a:prstGeom prst="rect">
                      <a:avLst/>
                    </a:prstGeom>
                    <a:noFill/>
                    <a:ln w="19050">
                      <a:solidFill>
                        <a:schemeClr val="tx1"/>
                      </a:solidFill>
                      <a:miter lim="800000"/>
                      <a:headEnd/>
                      <a:tailEnd/>
                    </a:ln>
                  </pic:spPr>
                </pic:pic>
              </a:graphicData>
            </a:graphic>
          </wp:inline>
        </w:drawing>
      </w:r>
      <w:r w:rsidR="00BD51B1" w:rsidRPr="00BD51B1">
        <w:rPr>
          <w:sz w:val="22"/>
          <w:szCs w:val="22"/>
        </w:rPr>
        <w:t xml:space="preserve"> </w:t>
      </w:r>
      <w:r w:rsidR="00BD51B1">
        <w:rPr>
          <w:noProof/>
          <w:sz w:val="22"/>
          <w:szCs w:val="22"/>
        </w:rPr>
        <w:drawing>
          <wp:inline distT="0" distB="0" distL="0" distR="0">
            <wp:extent cx="1388414" cy="1265697"/>
            <wp:effectExtent l="19050" t="19050" r="21286" b="10653"/>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a:stretch>
                      <a:fillRect/>
                    </a:stretch>
                  </pic:blipFill>
                  <pic:spPr bwMode="auto">
                    <a:xfrm>
                      <a:off x="0" y="0"/>
                      <a:ext cx="1391962" cy="1268931"/>
                    </a:xfrm>
                    <a:prstGeom prst="rect">
                      <a:avLst/>
                    </a:prstGeom>
                    <a:noFill/>
                    <a:ln w="19050">
                      <a:solidFill>
                        <a:schemeClr val="tx1"/>
                      </a:solidFill>
                      <a:miter lim="800000"/>
                      <a:headEnd/>
                      <a:tailEnd/>
                    </a:ln>
                  </pic:spPr>
                </pic:pic>
              </a:graphicData>
            </a:graphic>
          </wp:inline>
        </w:drawing>
      </w:r>
    </w:p>
    <w:p w:rsidR="00324BF4" w:rsidRDefault="00324BF4" w:rsidP="00BD51B1">
      <w:pPr>
        <w:pStyle w:val="Caption"/>
        <w:spacing w:before="0"/>
        <w:jc w:val="center"/>
        <w:rPr>
          <w:szCs w:val="22"/>
        </w:rPr>
      </w:pPr>
      <w:bookmarkStart w:id="4" w:name="_Ref407540997"/>
      <w:r>
        <w:rPr>
          <w:caps w:val="0"/>
        </w:rPr>
        <w:t xml:space="preserve">Figure </w:t>
      </w:r>
      <w:r w:rsidR="00634733">
        <w:fldChar w:fldCharType="begin"/>
      </w:r>
      <w:r w:rsidR="00634733">
        <w:instrText xml:space="preserve"> SEQ Figure \* ARABIC </w:instrText>
      </w:r>
      <w:r w:rsidR="00634733">
        <w:fldChar w:fldCharType="separate"/>
      </w:r>
      <w:r w:rsidR="00A834F3">
        <w:rPr>
          <w:noProof/>
        </w:rPr>
        <w:t>3</w:t>
      </w:r>
      <w:r w:rsidR="00634733">
        <w:rPr>
          <w:noProof/>
        </w:rPr>
        <w:fldChar w:fldCharType="end"/>
      </w:r>
      <w:bookmarkEnd w:id="4"/>
      <w:r>
        <w:rPr>
          <w:caps w:val="0"/>
        </w:rPr>
        <w:t xml:space="preserve">.  FPL Fort Myers </w:t>
      </w:r>
      <w:r w:rsidR="00BD51B1">
        <w:rPr>
          <w:caps w:val="0"/>
        </w:rPr>
        <w:t xml:space="preserve">Power Plant as viewed From and Towards </w:t>
      </w:r>
      <w:r>
        <w:rPr>
          <w:caps w:val="0"/>
        </w:rPr>
        <w:t>I-75</w:t>
      </w:r>
    </w:p>
    <w:p w:rsidR="00BD51B1" w:rsidRDefault="00AB7DF3" w:rsidP="003C2C91">
      <w:pPr>
        <w:spacing w:after="120"/>
        <w:rPr>
          <w:sz w:val="22"/>
          <w:szCs w:val="22"/>
        </w:rPr>
      </w:pPr>
      <w:r w:rsidRPr="00AB7DF3">
        <w:rPr>
          <w:sz w:val="22"/>
          <w:szCs w:val="22"/>
        </w:rPr>
        <w:lastRenderedPageBreak/>
        <w:t xml:space="preserve">The facility is an electrical power generating plant with a </w:t>
      </w:r>
      <w:r w:rsidRPr="00AB7DF3">
        <w:rPr>
          <w:bCs/>
          <w:sz w:val="22"/>
          <w:szCs w:val="22"/>
        </w:rPr>
        <w:t>Standard Industrial Classification Code (SIC) of No. 4911.</w:t>
      </w:r>
      <w:r>
        <w:rPr>
          <w:bCs/>
          <w:sz w:val="22"/>
          <w:szCs w:val="22"/>
        </w:rPr>
        <w:t xml:space="preserve">  </w:t>
      </w:r>
      <w:r w:rsidR="00780B3E" w:rsidRPr="00AB7DF3">
        <w:rPr>
          <w:sz w:val="22"/>
          <w:szCs w:val="22"/>
        </w:rPr>
        <w:t xml:space="preserve">This site is approximately 97 kilometers from Everglades National Park, a Class I PSD Area.  </w:t>
      </w:r>
      <w:r w:rsidR="0089010F" w:rsidRPr="00AB7DF3">
        <w:rPr>
          <w:sz w:val="22"/>
          <w:szCs w:val="22"/>
        </w:rPr>
        <w:t xml:space="preserve">The </w:t>
      </w:r>
      <w:r w:rsidR="009E6142" w:rsidRPr="00AB7DF3">
        <w:rPr>
          <w:sz w:val="22"/>
          <w:szCs w:val="22"/>
        </w:rPr>
        <w:t xml:space="preserve">approximate facility UTM coordinates are:  </w:t>
      </w:r>
      <w:r w:rsidR="00780B3E" w:rsidRPr="00AB7DF3">
        <w:rPr>
          <w:sz w:val="22"/>
          <w:szCs w:val="22"/>
        </w:rPr>
        <w:t>Zone 17, 422.3 kilometers (km) East, and 2952.9 km North</w:t>
      </w:r>
      <w:r w:rsidR="009E6142" w:rsidRPr="00AB7DF3">
        <w:rPr>
          <w:sz w:val="22"/>
          <w:szCs w:val="22"/>
        </w:rPr>
        <w:t xml:space="preserve">.  </w:t>
      </w:r>
    </w:p>
    <w:p w:rsidR="0089010F" w:rsidRPr="00AB7DF3" w:rsidRDefault="009B49F2" w:rsidP="003C2C91">
      <w:pPr>
        <w:spacing w:after="120"/>
        <w:rPr>
          <w:color w:val="000000" w:themeColor="text1"/>
          <w:sz w:val="22"/>
          <w:szCs w:val="22"/>
        </w:rPr>
      </w:pPr>
      <w:r w:rsidRPr="00AB7DF3">
        <w:rPr>
          <w:sz w:val="22"/>
          <w:szCs w:val="22"/>
        </w:rPr>
        <w:t>According to the facility Title V Air Operating Permit, t</w:t>
      </w:r>
      <w:r w:rsidR="0089010F" w:rsidRPr="00AB7DF3">
        <w:rPr>
          <w:color w:val="000000" w:themeColor="text1"/>
          <w:sz w:val="22"/>
          <w:szCs w:val="22"/>
        </w:rPr>
        <w:t xml:space="preserve">he </w:t>
      </w:r>
      <w:r w:rsidR="00780B3E" w:rsidRPr="00AB7DF3">
        <w:rPr>
          <w:color w:val="000000" w:themeColor="text1"/>
          <w:sz w:val="22"/>
          <w:szCs w:val="22"/>
        </w:rPr>
        <w:t>Ft. Myers Plant</w:t>
      </w:r>
      <w:r w:rsidR="009E6142" w:rsidRPr="00AB7DF3">
        <w:rPr>
          <w:color w:val="000000" w:themeColor="text1"/>
          <w:sz w:val="22"/>
          <w:szCs w:val="22"/>
        </w:rPr>
        <w:t xml:space="preserve"> is comprised of </w:t>
      </w:r>
      <w:r w:rsidR="00AB7DF3">
        <w:rPr>
          <w:color w:val="000000" w:themeColor="text1"/>
          <w:sz w:val="22"/>
          <w:szCs w:val="22"/>
        </w:rPr>
        <w:t xml:space="preserve">a </w:t>
      </w:r>
      <w:r w:rsidR="00B01D31">
        <w:rPr>
          <w:color w:val="000000" w:themeColor="text1"/>
          <w:sz w:val="22"/>
          <w:szCs w:val="22"/>
        </w:rPr>
        <w:t>1,500 meg</w:t>
      </w:r>
      <w:r w:rsidR="003B61DD">
        <w:rPr>
          <w:color w:val="000000" w:themeColor="text1"/>
          <w:sz w:val="22"/>
          <w:szCs w:val="22"/>
        </w:rPr>
        <w:t>a</w:t>
      </w:r>
      <w:r w:rsidR="00B01D31">
        <w:rPr>
          <w:color w:val="000000" w:themeColor="text1"/>
          <w:sz w:val="22"/>
          <w:szCs w:val="22"/>
        </w:rPr>
        <w:t>watt (MW) six-on-two com</w:t>
      </w:r>
      <w:r w:rsidR="00AB7DF3">
        <w:rPr>
          <w:color w:val="000000" w:themeColor="text1"/>
          <w:sz w:val="22"/>
          <w:szCs w:val="22"/>
        </w:rPr>
        <w:t>bined cycle unit</w:t>
      </w:r>
      <w:r w:rsidR="00851FB4">
        <w:rPr>
          <w:color w:val="000000" w:themeColor="text1"/>
          <w:sz w:val="22"/>
          <w:szCs w:val="22"/>
        </w:rPr>
        <w:t xml:space="preserve"> (Unit 2)</w:t>
      </w:r>
      <w:r w:rsidR="00AB7DF3">
        <w:rPr>
          <w:color w:val="000000" w:themeColor="text1"/>
          <w:sz w:val="22"/>
          <w:szCs w:val="22"/>
        </w:rPr>
        <w:t xml:space="preserve">; two large simple cycle combustion turbine-electric generators (CTGs); 12 small peaking CTGs and ancillary equipment.  </w:t>
      </w:r>
      <w:hyperlink r:id="rId14" w:history="1">
        <w:r w:rsidR="00780B3E" w:rsidRPr="00AB7DF3">
          <w:rPr>
            <w:rStyle w:val="Hyperlink"/>
            <w:sz w:val="22"/>
            <w:szCs w:val="22"/>
          </w:rPr>
          <w:t xml:space="preserve">Link to </w:t>
        </w:r>
        <w:r w:rsidR="00851FB4">
          <w:rPr>
            <w:rStyle w:val="Hyperlink"/>
            <w:sz w:val="22"/>
            <w:szCs w:val="22"/>
          </w:rPr>
          <w:t xml:space="preserve">Fort </w:t>
        </w:r>
        <w:r w:rsidR="00AB7DF3" w:rsidRPr="00AB7DF3">
          <w:rPr>
            <w:rStyle w:val="Hyperlink"/>
            <w:sz w:val="22"/>
            <w:szCs w:val="22"/>
          </w:rPr>
          <w:t>M</w:t>
        </w:r>
        <w:r w:rsidR="00780B3E" w:rsidRPr="00AB7DF3">
          <w:rPr>
            <w:rStyle w:val="Hyperlink"/>
            <w:sz w:val="22"/>
            <w:szCs w:val="22"/>
          </w:rPr>
          <w:t>yers Title V Permit</w:t>
        </w:r>
      </w:hyperlink>
      <w:r w:rsidR="00780B3E" w:rsidRPr="00AB7DF3">
        <w:rPr>
          <w:color w:val="000000" w:themeColor="text1"/>
          <w:sz w:val="22"/>
          <w:szCs w:val="22"/>
        </w:rPr>
        <w:t xml:space="preserve">  </w:t>
      </w:r>
    </w:p>
    <w:p w:rsidR="00193F10" w:rsidRPr="00E95FE8" w:rsidRDefault="001C4E37" w:rsidP="00397A7D">
      <w:pPr>
        <w:pStyle w:val="ListParagraph"/>
        <w:numPr>
          <w:ilvl w:val="1"/>
          <w:numId w:val="1"/>
        </w:numPr>
        <w:tabs>
          <w:tab w:val="left" w:pos="450"/>
        </w:tabs>
        <w:spacing w:after="120"/>
        <w:ind w:left="446" w:hanging="446"/>
        <w:contextualSpacing w:val="0"/>
        <w:rPr>
          <w:b/>
          <w:bCs/>
          <w:sz w:val="22"/>
          <w:szCs w:val="22"/>
        </w:rPr>
      </w:pPr>
      <w:r w:rsidRPr="00E95FE8">
        <w:rPr>
          <w:b/>
          <w:bCs/>
          <w:sz w:val="22"/>
          <w:szCs w:val="22"/>
        </w:rPr>
        <w:t xml:space="preserve">Facility </w:t>
      </w:r>
      <w:r w:rsidR="00193F10" w:rsidRPr="00E95FE8">
        <w:rPr>
          <w:b/>
          <w:bCs/>
          <w:sz w:val="22"/>
          <w:szCs w:val="22"/>
        </w:rPr>
        <w:t>Regulatory Categories</w:t>
      </w:r>
    </w:p>
    <w:p w:rsidR="0089010F" w:rsidRPr="0089010F" w:rsidRDefault="0089010F" w:rsidP="00397A7D">
      <w:pPr>
        <w:pStyle w:val="ListParagraph"/>
        <w:widowControl w:val="0"/>
        <w:numPr>
          <w:ilvl w:val="0"/>
          <w:numId w:val="5"/>
        </w:numPr>
        <w:spacing w:after="60"/>
        <w:contextualSpacing w:val="0"/>
        <w:rPr>
          <w:sz w:val="22"/>
          <w:szCs w:val="22"/>
        </w:rPr>
      </w:pPr>
      <w:r w:rsidRPr="0089010F">
        <w:rPr>
          <w:sz w:val="22"/>
          <w:szCs w:val="22"/>
        </w:rPr>
        <w:t>The facility is a major source of hazardous air pollutants (HAP).</w:t>
      </w:r>
    </w:p>
    <w:p w:rsidR="0089010F" w:rsidRPr="0089010F" w:rsidRDefault="0089010F" w:rsidP="00397A7D">
      <w:pPr>
        <w:pStyle w:val="ListParagraph"/>
        <w:widowControl w:val="0"/>
        <w:numPr>
          <w:ilvl w:val="0"/>
          <w:numId w:val="5"/>
        </w:numPr>
        <w:spacing w:after="60"/>
        <w:contextualSpacing w:val="0"/>
        <w:rPr>
          <w:sz w:val="22"/>
          <w:szCs w:val="22"/>
        </w:rPr>
      </w:pPr>
      <w:r w:rsidRPr="0089010F">
        <w:rPr>
          <w:sz w:val="22"/>
          <w:szCs w:val="22"/>
        </w:rPr>
        <w:t>The facility is a Title V major source of air pollution in accordance with Chapter 213, F.A.C.</w:t>
      </w:r>
    </w:p>
    <w:p w:rsidR="0089010F" w:rsidRPr="0089010F" w:rsidRDefault="0089010F" w:rsidP="00397A7D">
      <w:pPr>
        <w:pStyle w:val="ListParagraph"/>
        <w:widowControl w:val="0"/>
        <w:numPr>
          <w:ilvl w:val="0"/>
          <w:numId w:val="5"/>
        </w:numPr>
        <w:spacing w:after="60"/>
        <w:contextualSpacing w:val="0"/>
        <w:rPr>
          <w:sz w:val="22"/>
          <w:szCs w:val="22"/>
        </w:rPr>
      </w:pPr>
      <w:r w:rsidRPr="0089010F">
        <w:rPr>
          <w:sz w:val="22"/>
          <w:szCs w:val="22"/>
        </w:rPr>
        <w:t>The facility is a major stationary source (PSD-major source) in accordance with Rule 62-212.400, F.A.C.</w:t>
      </w:r>
    </w:p>
    <w:p w:rsidR="0089010F" w:rsidRPr="0089010F" w:rsidRDefault="0089010F" w:rsidP="00397A7D">
      <w:pPr>
        <w:pStyle w:val="ListParagraph"/>
        <w:widowControl w:val="0"/>
        <w:numPr>
          <w:ilvl w:val="0"/>
          <w:numId w:val="5"/>
        </w:numPr>
        <w:spacing w:after="60"/>
        <w:contextualSpacing w:val="0"/>
        <w:rPr>
          <w:sz w:val="22"/>
          <w:szCs w:val="22"/>
        </w:rPr>
      </w:pPr>
      <w:r w:rsidRPr="0089010F">
        <w:rPr>
          <w:sz w:val="22"/>
          <w:szCs w:val="22"/>
        </w:rPr>
        <w:t>The facility operates units subject to the Standards of Performance for New Stationary Sources (NSPS) pursuant to 40 Code of Federal Regulations (CFR) Part 60.</w:t>
      </w:r>
    </w:p>
    <w:p w:rsidR="0089010F" w:rsidRPr="0089010F" w:rsidRDefault="0089010F" w:rsidP="00397A7D">
      <w:pPr>
        <w:pStyle w:val="ListParagraph"/>
        <w:widowControl w:val="0"/>
        <w:numPr>
          <w:ilvl w:val="0"/>
          <w:numId w:val="5"/>
        </w:numPr>
        <w:spacing w:after="60"/>
        <w:contextualSpacing w:val="0"/>
        <w:rPr>
          <w:sz w:val="22"/>
          <w:szCs w:val="22"/>
        </w:rPr>
      </w:pPr>
      <w:r w:rsidRPr="0089010F">
        <w:rPr>
          <w:sz w:val="22"/>
          <w:szCs w:val="22"/>
        </w:rPr>
        <w:t>The facility operates units subject to the National Emissions Standards for Hazardous Air Pollutants (NESHAP) pursuant to 40 CFR Part 63.</w:t>
      </w:r>
    </w:p>
    <w:p w:rsidR="0089010F" w:rsidRPr="0089010F" w:rsidRDefault="0089010F" w:rsidP="00397A7D">
      <w:pPr>
        <w:pStyle w:val="ListParagraph"/>
        <w:widowControl w:val="0"/>
        <w:numPr>
          <w:ilvl w:val="0"/>
          <w:numId w:val="5"/>
        </w:numPr>
        <w:spacing w:after="60"/>
        <w:contextualSpacing w:val="0"/>
        <w:rPr>
          <w:sz w:val="22"/>
          <w:szCs w:val="22"/>
        </w:rPr>
      </w:pPr>
      <w:r w:rsidRPr="0089010F">
        <w:rPr>
          <w:sz w:val="22"/>
          <w:szCs w:val="22"/>
        </w:rPr>
        <w:t>The facility operates units subject to the Acid Rain provisions of the Clean Air Act.</w:t>
      </w:r>
    </w:p>
    <w:p w:rsidR="0089010F" w:rsidRPr="0089010F" w:rsidRDefault="0089010F" w:rsidP="00397A7D">
      <w:pPr>
        <w:pStyle w:val="ListParagraph"/>
        <w:widowControl w:val="0"/>
        <w:numPr>
          <w:ilvl w:val="0"/>
          <w:numId w:val="5"/>
        </w:numPr>
        <w:spacing w:after="60"/>
        <w:contextualSpacing w:val="0"/>
        <w:rPr>
          <w:b/>
          <w:sz w:val="22"/>
          <w:szCs w:val="22"/>
        </w:rPr>
      </w:pPr>
      <w:r w:rsidRPr="0089010F">
        <w:rPr>
          <w:iCs/>
          <w:sz w:val="22"/>
          <w:szCs w:val="22"/>
        </w:rPr>
        <w:t xml:space="preserve">The facility is located in an area that is designated as “attainment”, “maintenance”, or “unclassifiable” for each pollutant subject to a National Ambient Air Quality Standard </w:t>
      </w:r>
      <w:r w:rsidRPr="0089010F">
        <w:rPr>
          <w:sz w:val="22"/>
          <w:szCs w:val="22"/>
        </w:rPr>
        <w:t>pursuant to Rule 62-204.340, F.A.C.</w:t>
      </w:r>
      <w:r w:rsidRPr="0089010F">
        <w:rPr>
          <w:iCs/>
          <w:sz w:val="22"/>
          <w:szCs w:val="22"/>
        </w:rPr>
        <w:t xml:space="preserve">  </w:t>
      </w:r>
    </w:p>
    <w:p w:rsidR="00193F10" w:rsidRPr="00CC76F4" w:rsidRDefault="00193F10" w:rsidP="00397A7D">
      <w:pPr>
        <w:pStyle w:val="ListParagraph"/>
        <w:numPr>
          <w:ilvl w:val="1"/>
          <w:numId w:val="1"/>
        </w:numPr>
        <w:tabs>
          <w:tab w:val="left" w:pos="450"/>
        </w:tabs>
        <w:spacing w:after="120"/>
        <w:ind w:left="450" w:hanging="450"/>
        <w:rPr>
          <w:b/>
          <w:bCs/>
          <w:sz w:val="22"/>
          <w:szCs w:val="22"/>
        </w:rPr>
      </w:pPr>
      <w:r w:rsidRPr="00CC76F4">
        <w:rPr>
          <w:b/>
          <w:bCs/>
          <w:sz w:val="22"/>
          <w:szCs w:val="22"/>
        </w:rPr>
        <w:t>Pro</w:t>
      </w:r>
      <w:r w:rsidR="005C4CE1">
        <w:rPr>
          <w:b/>
          <w:bCs/>
          <w:sz w:val="22"/>
          <w:szCs w:val="22"/>
        </w:rPr>
        <w:t xml:space="preserve">cess </w:t>
      </w:r>
      <w:r w:rsidRPr="00CC76F4">
        <w:rPr>
          <w:b/>
          <w:bCs/>
          <w:sz w:val="22"/>
          <w:szCs w:val="22"/>
        </w:rPr>
        <w:t>Description</w:t>
      </w:r>
      <w:r w:rsidR="005C4CE1">
        <w:rPr>
          <w:b/>
          <w:bCs/>
          <w:sz w:val="22"/>
          <w:szCs w:val="22"/>
        </w:rPr>
        <w:t xml:space="preserve"> and Emissions</w:t>
      </w:r>
    </w:p>
    <w:p w:rsidR="002C41A6" w:rsidRDefault="00BA5A58" w:rsidP="002C41A6">
      <w:pPr>
        <w:pStyle w:val="BodyText3"/>
        <w:numPr>
          <w:ilvl w:val="12"/>
          <w:numId w:val="0"/>
        </w:numPr>
        <w:spacing w:before="0"/>
        <w:rPr>
          <w:szCs w:val="22"/>
        </w:rPr>
      </w:pPr>
      <w:r>
        <w:fldChar w:fldCharType="begin"/>
      </w:r>
      <w:r>
        <w:instrText xml:space="preserve"> REF _Ref394051749 \h  \* MERGEFORMAT </w:instrText>
      </w:r>
      <w:r>
        <w:fldChar w:fldCharType="separate"/>
      </w:r>
      <w:r w:rsidR="00A834F3" w:rsidRPr="00A834F3">
        <w:rPr>
          <w:rFonts w:ascii="Times New Roman Bold" w:hAnsi="Times New Roman Bold"/>
          <w:b/>
        </w:rPr>
        <w:t>Figure 4</w:t>
      </w:r>
      <w:r>
        <w:fldChar w:fldCharType="end"/>
      </w:r>
      <w:r w:rsidR="00B63150">
        <w:rPr>
          <w:szCs w:val="22"/>
        </w:rPr>
        <w:t xml:space="preserve"> </w:t>
      </w:r>
      <w:r w:rsidR="002C41A6">
        <w:rPr>
          <w:szCs w:val="22"/>
        </w:rPr>
        <w:t xml:space="preserve">is an aerial photograph of </w:t>
      </w:r>
      <w:r w:rsidR="00486B6A">
        <w:rPr>
          <w:szCs w:val="22"/>
        </w:rPr>
        <w:t xml:space="preserve">the </w:t>
      </w:r>
      <w:r w:rsidR="00E4556A">
        <w:rPr>
          <w:szCs w:val="22"/>
        </w:rPr>
        <w:t>Fort Myers Plant</w:t>
      </w:r>
      <w:r w:rsidR="002C41A6">
        <w:rPr>
          <w:szCs w:val="22"/>
        </w:rPr>
        <w:t xml:space="preserve">.  </w:t>
      </w:r>
      <w:r w:rsidR="00E4556A">
        <w:rPr>
          <w:szCs w:val="22"/>
        </w:rPr>
        <w:t xml:space="preserve">The </w:t>
      </w:r>
      <w:r w:rsidR="00326613">
        <w:rPr>
          <w:szCs w:val="22"/>
        </w:rPr>
        <w:t>“</w:t>
      </w:r>
      <w:r w:rsidR="00E4556A">
        <w:rPr>
          <w:szCs w:val="22"/>
        </w:rPr>
        <w:t>six</w:t>
      </w:r>
      <w:r w:rsidR="00326613">
        <w:rPr>
          <w:szCs w:val="22"/>
        </w:rPr>
        <w:t>-on-</w:t>
      </w:r>
      <w:r w:rsidR="00E4556A">
        <w:rPr>
          <w:szCs w:val="22"/>
        </w:rPr>
        <w:t>two</w:t>
      </w:r>
      <w:r w:rsidR="00326613">
        <w:rPr>
          <w:szCs w:val="22"/>
        </w:rPr>
        <w:t xml:space="preserve">” </w:t>
      </w:r>
      <w:r w:rsidR="00E4556A">
        <w:rPr>
          <w:szCs w:val="22"/>
        </w:rPr>
        <w:t xml:space="preserve">combined cycle unit (Unit 2) </w:t>
      </w:r>
      <w:r w:rsidR="00326613">
        <w:rPr>
          <w:szCs w:val="22"/>
        </w:rPr>
        <w:t xml:space="preserve">includes </w:t>
      </w:r>
      <w:r w:rsidR="00E4556A">
        <w:rPr>
          <w:szCs w:val="22"/>
        </w:rPr>
        <w:t>six</w:t>
      </w:r>
      <w:r w:rsidR="00326613">
        <w:rPr>
          <w:szCs w:val="22"/>
        </w:rPr>
        <w:t xml:space="preserve"> (CTGs), two heat recover steam generators (HRSGs) and </w:t>
      </w:r>
      <w:r w:rsidR="00E4556A">
        <w:rPr>
          <w:szCs w:val="22"/>
        </w:rPr>
        <w:t>two</w:t>
      </w:r>
      <w:r w:rsidR="00326613">
        <w:rPr>
          <w:szCs w:val="22"/>
        </w:rPr>
        <w:t xml:space="preserve"> steam turbine-electric generator</w:t>
      </w:r>
      <w:r w:rsidR="00E4556A">
        <w:rPr>
          <w:szCs w:val="22"/>
        </w:rPr>
        <w:t>s</w:t>
      </w:r>
      <w:r w:rsidR="00326613">
        <w:rPr>
          <w:szCs w:val="22"/>
        </w:rPr>
        <w:t xml:space="preserve"> (STG</w:t>
      </w:r>
      <w:r w:rsidR="00E4556A">
        <w:rPr>
          <w:szCs w:val="22"/>
        </w:rPr>
        <w:t>s</w:t>
      </w:r>
      <w:r w:rsidR="00326613">
        <w:rPr>
          <w:szCs w:val="22"/>
        </w:rPr>
        <w:t xml:space="preserve">).  </w:t>
      </w:r>
      <w:r w:rsidR="002C41A6">
        <w:rPr>
          <w:szCs w:val="22"/>
        </w:rPr>
        <w:t xml:space="preserve">The </w:t>
      </w:r>
      <w:r w:rsidR="00324BF4">
        <w:rPr>
          <w:szCs w:val="22"/>
        </w:rPr>
        <w:t xml:space="preserve">12 </w:t>
      </w:r>
      <w:r w:rsidR="00486B6A">
        <w:rPr>
          <w:szCs w:val="22"/>
        </w:rPr>
        <w:t>e</w:t>
      </w:r>
      <w:r w:rsidR="002C41A6">
        <w:rPr>
          <w:szCs w:val="22"/>
        </w:rPr>
        <w:t xml:space="preserve">xhaust stacks </w:t>
      </w:r>
      <w:r w:rsidR="00486B6A">
        <w:rPr>
          <w:szCs w:val="22"/>
        </w:rPr>
        <w:t xml:space="preserve">(one per </w:t>
      </w:r>
      <w:r w:rsidR="00324BF4">
        <w:rPr>
          <w:szCs w:val="22"/>
        </w:rPr>
        <w:t xml:space="preserve">CTG and one per </w:t>
      </w:r>
      <w:r w:rsidR="00486B6A">
        <w:rPr>
          <w:szCs w:val="22"/>
        </w:rPr>
        <w:t xml:space="preserve">HRSG) </w:t>
      </w:r>
      <w:r w:rsidR="002C41A6">
        <w:rPr>
          <w:szCs w:val="22"/>
        </w:rPr>
        <w:t xml:space="preserve">are </w:t>
      </w:r>
      <w:r w:rsidR="00486B6A">
        <w:rPr>
          <w:szCs w:val="22"/>
        </w:rPr>
        <w:t xml:space="preserve">visible in the picture.  </w:t>
      </w:r>
    </w:p>
    <w:p w:rsidR="00486B6A" w:rsidRDefault="00634733" w:rsidP="00590394">
      <w:pPr>
        <w:pStyle w:val="BodyText3"/>
        <w:numPr>
          <w:ilvl w:val="12"/>
          <w:numId w:val="0"/>
        </w:numPr>
        <w:spacing w:before="0" w:after="60"/>
        <w:rPr>
          <w:szCs w:val="22"/>
        </w:rPr>
      </w:pPr>
      <w:r>
        <w:rPr>
          <w:iCs/>
          <w:noProof/>
          <w:szCs w:val="22"/>
        </w:rPr>
        <w:pict>
          <v:shape id="_x0000_s1044" type="#_x0000_t202" style="position:absolute;margin-left:134.45pt;margin-top:133.9pt;width:57.25pt;height:16.95pt;z-index:251711488;mso-height-percent:200;mso-height-percent:200;mso-width-relative:margin;mso-height-relative:margin" o:regroupid="3" fillcolor="white [3212]" stroked="f" strokeweight="1.5pt">
            <v:textbox style="mso-next-textbox:#_x0000_s1044;mso-fit-shape-to-text:t">
              <w:txbxContent>
                <w:p w:rsidR="00A834F3" w:rsidRPr="00E4556A" w:rsidRDefault="00A834F3" w:rsidP="008A3B30">
                  <w:pPr>
                    <w:rPr>
                      <w:rFonts w:ascii="Calibri" w:hAnsi="Calibri"/>
                      <w:b/>
                      <w:color w:val="FF0000"/>
                      <w:sz w:val="16"/>
                      <w:szCs w:val="16"/>
                    </w:rPr>
                  </w:pPr>
                  <w:r w:rsidRPr="00E4556A">
                    <w:rPr>
                      <w:rFonts w:ascii="Calibri" w:hAnsi="Calibri"/>
                      <w:b/>
                      <w:color w:val="FF0000"/>
                      <w:sz w:val="16"/>
                      <w:szCs w:val="16"/>
                    </w:rPr>
                    <w:t>2 Large CTGs</w:t>
                  </w:r>
                </w:p>
              </w:txbxContent>
            </v:textbox>
          </v:shape>
        </w:pict>
      </w:r>
      <w:r>
        <w:rPr>
          <w:iCs/>
          <w:noProof/>
          <w:szCs w:val="22"/>
        </w:rPr>
        <w:pict>
          <v:shape id="_x0000_s1043" type="#_x0000_t202" style="position:absolute;margin-left:200.7pt;margin-top:218.5pt;width:74.6pt;height:16.95pt;z-index:251710464;mso-height-percent:200;mso-height-percent:200;mso-width-relative:margin;mso-height-relative:margin" o:regroupid="3" fillcolor="white [3212]" stroked="f" strokeweight="1.5pt">
            <v:textbox style="mso-next-textbox:#_x0000_s1043;mso-fit-shape-to-text:t">
              <w:txbxContent>
                <w:p w:rsidR="00A834F3" w:rsidRPr="00E4556A" w:rsidRDefault="00A834F3" w:rsidP="008A3B30">
                  <w:pPr>
                    <w:rPr>
                      <w:rFonts w:ascii="Calibri" w:hAnsi="Calibri"/>
                      <w:b/>
                      <w:color w:val="FF0000"/>
                      <w:sz w:val="16"/>
                      <w:szCs w:val="16"/>
                    </w:rPr>
                  </w:pPr>
                  <w:r w:rsidRPr="00E4556A">
                    <w:rPr>
                      <w:rFonts w:ascii="Calibri" w:hAnsi="Calibri"/>
                      <w:b/>
                      <w:color w:val="FF0000"/>
                      <w:sz w:val="16"/>
                      <w:szCs w:val="16"/>
                    </w:rPr>
                    <w:t>12 Small Peakers</w:t>
                  </w:r>
                </w:p>
              </w:txbxContent>
            </v:textbox>
          </v:shape>
        </w:pict>
      </w:r>
      <w:r>
        <w:rPr>
          <w:iCs/>
          <w:noProof/>
          <w:szCs w:val="22"/>
        </w:rPr>
        <w:pict>
          <v:shape id="_x0000_s1042" type="#_x0000_t202" style="position:absolute;margin-left:195.45pt;margin-top:43.2pt;width:41.8pt;height:16.95pt;z-index:251709440;mso-height-percent:200;mso-height-percent:200;mso-width-relative:margin;mso-height-relative:margin" o:regroupid="3" fillcolor="white [3212]" stroked="f" strokeweight="1.5pt">
            <v:textbox style="mso-next-textbox:#_x0000_s1042;mso-fit-shape-to-text:t">
              <w:txbxContent>
                <w:p w:rsidR="00A834F3" w:rsidRPr="00E4556A" w:rsidRDefault="00A834F3" w:rsidP="008A3B30">
                  <w:pPr>
                    <w:rPr>
                      <w:rFonts w:ascii="Calibri" w:hAnsi="Calibri"/>
                      <w:b/>
                      <w:color w:val="FF0000"/>
                      <w:sz w:val="16"/>
                      <w:szCs w:val="16"/>
                    </w:rPr>
                  </w:pPr>
                  <w:r w:rsidRPr="00E4556A">
                    <w:rPr>
                      <w:rFonts w:ascii="Calibri" w:hAnsi="Calibri"/>
                      <w:b/>
                      <w:color w:val="FF0000"/>
                      <w:sz w:val="16"/>
                      <w:szCs w:val="16"/>
                    </w:rPr>
                    <w:t>Unit 2</w:t>
                  </w:r>
                </w:p>
              </w:txbxContent>
            </v:textbox>
          </v:shape>
        </w:pict>
      </w:r>
      <w:r w:rsidR="00B94F43">
        <w:rPr>
          <w:noProof/>
          <w:szCs w:val="22"/>
        </w:rPr>
        <w:drawing>
          <wp:inline distT="0" distB="0" distL="0" distR="0">
            <wp:extent cx="6400800" cy="3658127"/>
            <wp:effectExtent l="19050" t="19050" r="19050" b="18523"/>
            <wp:docPr id="10" name="Picture 4" descr="C:\Users\axmpxl\Desktop\2014-12-28_1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xmpxl\Desktop\2014-12-28_1342.png"/>
                    <pic:cNvPicPr>
                      <a:picLocks noChangeAspect="1" noChangeArrowheads="1"/>
                    </pic:cNvPicPr>
                  </pic:nvPicPr>
                  <pic:blipFill>
                    <a:blip r:embed="rId15" cstate="print"/>
                    <a:srcRect/>
                    <a:stretch>
                      <a:fillRect/>
                    </a:stretch>
                  </pic:blipFill>
                  <pic:spPr bwMode="auto">
                    <a:xfrm>
                      <a:off x="0" y="0"/>
                      <a:ext cx="6400800" cy="3658127"/>
                    </a:xfrm>
                    <a:prstGeom prst="rect">
                      <a:avLst/>
                    </a:prstGeom>
                    <a:noFill/>
                    <a:ln w="19050">
                      <a:solidFill>
                        <a:schemeClr val="tx1"/>
                      </a:solidFill>
                      <a:miter lim="800000"/>
                      <a:headEnd/>
                      <a:tailEnd/>
                    </a:ln>
                  </pic:spPr>
                </pic:pic>
              </a:graphicData>
            </a:graphic>
          </wp:inline>
        </w:drawing>
      </w:r>
    </w:p>
    <w:p w:rsidR="00486B6A" w:rsidRDefault="00486B6A" w:rsidP="00486B6A">
      <w:pPr>
        <w:pStyle w:val="Caption"/>
        <w:spacing w:before="120"/>
        <w:jc w:val="center"/>
        <w:rPr>
          <w:rFonts w:ascii="Times New Roman Bold" w:hAnsi="Times New Roman Bold"/>
          <w:caps w:val="0"/>
          <w:szCs w:val="22"/>
        </w:rPr>
      </w:pPr>
      <w:bookmarkStart w:id="5" w:name="_Ref394051749"/>
      <w:r w:rsidRPr="00B63150">
        <w:rPr>
          <w:rFonts w:ascii="Times New Roman Bold" w:hAnsi="Times New Roman Bold"/>
          <w:caps w:val="0"/>
        </w:rPr>
        <w:t xml:space="preserve">Figure </w:t>
      </w:r>
      <w:r w:rsidR="00515AEA" w:rsidRPr="00B63150">
        <w:rPr>
          <w:rFonts w:ascii="Times New Roman Bold" w:hAnsi="Times New Roman Bold"/>
          <w:caps w:val="0"/>
        </w:rPr>
        <w:fldChar w:fldCharType="begin"/>
      </w:r>
      <w:r w:rsidRPr="00B63150">
        <w:rPr>
          <w:rFonts w:ascii="Times New Roman Bold" w:hAnsi="Times New Roman Bold"/>
          <w:caps w:val="0"/>
        </w:rPr>
        <w:instrText xml:space="preserve"> SEQ Figure \* ARABIC </w:instrText>
      </w:r>
      <w:r w:rsidR="00515AEA" w:rsidRPr="00B63150">
        <w:rPr>
          <w:rFonts w:ascii="Times New Roman Bold" w:hAnsi="Times New Roman Bold"/>
          <w:caps w:val="0"/>
        </w:rPr>
        <w:fldChar w:fldCharType="separate"/>
      </w:r>
      <w:r w:rsidR="00A834F3">
        <w:rPr>
          <w:rFonts w:ascii="Times New Roman Bold" w:hAnsi="Times New Roman Bold"/>
          <w:caps w:val="0"/>
          <w:noProof/>
        </w:rPr>
        <w:t>4</w:t>
      </w:r>
      <w:r w:rsidR="00515AEA" w:rsidRPr="00B63150">
        <w:rPr>
          <w:rFonts w:ascii="Times New Roman Bold" w:hAnsi="Times New Roman Bold"/>
          <w:caps w:val="0"/>
        </w:rPr>
        <w:fldChar w:fldCharType="end"/>
      </w:r>
      <w:bookmarkEnd w:id="5"/>
      <w:r w:rsidRPr="00B63150">
        <w:rPr>
          <w:rFonts w:ascii="Times New Roman Bold" w:hAnsi="Times New Roman Bold"/>
          <w:caps w:val="0"/>
        </w:rPr>
        <w:t xml:space="preserve">.  </w:t>
      </w:r>
      <w:r w:rsidR="00590394">
        <w:rPr>
          <w:rFonts w:ascii="Times New Roman Bold" w:hAnsi="Times New Roman Bold"/>
          <w:caps w:val="0"/>
        </w:rPr>
        <w:t xml:space="preserve">Key Components of the </w:t>
      </w:r>
      <w:r w:rsidR="00E4556A">
        <w:rPr>
          <w:rFonts w:ascii="Times New Roman Bold" w:hAnsi="Times New Roman Bold"/>
          <w:caps w:val="0"/>
        </w:rPr>
        <w:t xml:space="preserve">FPL Fort Myers </w:t>
      </w:r>
      <w:r w:rsidR="00BD51B1">
        <w:rPr>
          <w:rFonts w:ascii="Times New Roman Bold" w:hAnsi="Times New Roman Bold"/>
          <w:caps w:val="0"/>
        </w:rPr>
        <w:t xml:space="preserve">Power </w:t>
      </w:r>
      <w:r w:rsidR="00E4556A">
        <w:rPr>
          <w:rFonts w:ascii="Times New Roman Bold" w:hAnsi="Times New Roman Bold"/>
          <w:caps w:val="0"/>
        </w:rPr>
        <w:t xml:space="preserve">Plant </w:t>
      </w:r>
      <w:r w:rsidRPr="00B63150">
        <w:rPr>
          <w:rFonts w:ascii="Times New Roman Bold" w:hAnsi="Times New Roman Bold"/>
          <w:caps w:val="0"/>
          <w:szCs w:val="22"/>
        </w:rPr>
        <w:t>(~</w:t>
      </w:r>
      <w:r w:rsidR="00326613">
        <w:rPr>
          <w:rFonts w:ascii="Times New Roman Bold" w:hAnsi="Times New Roman Bold"/>
          <w:caps w:val="0"/>
          <w:szCs w:val="22"/>
        </w:rPr>
        <w:t>2,</w:t>
      </w:r>
      <w:r w:rsidR="00590394">
        <w:rPr>
          <w:rFonts w:ascii="Times New Roman Bold" w:hAnsi="Times New Roman Bold"/>
          <w:caps w:val="0"/>
          <w:szCs w:val="22"/>
        </w:rPr>
        <w:t>600</w:t>
      </w:r>
      <w:r w:rsidRPr="00B63150">
        <w:rPr>
          <w:rFonts w:ascii="Times New Roman Bold" w:hAnsi="Times New Roman Bold"/>
          <w:caps w:val="0"/>
          <w:szCs w:val="22"/>
        </w:rPr>
        <w:t xml:space="preserve"> MW)</w:t>
      </w:r>
    </w:p>
    <w:p w:rsidR="00590394" w:rsidRDefault="00590394">
      <w:r>
        <w:br w:type="page"/>
      </w:r>
    </w:p>
    <w:p w:rsidR="00486B6A" w:rsidRPr="00A43B8F" w:rsidRDefault="00BA5A58" w:rsidP="00486B6A">
      <w:pPr>
        <w:pStyle w:val="BodyText"/>
        <w:widowControl w:val="0"/>
        <w:rPr>
          <w:sz w:val="22"/>
          <w:szCs w:val="22"/>
        </w:rPr>
      </w:pPr>
      <w:r>
        <w:lastRenderedPageBreak/>
        <w:fldChar w:fldCharType="begin"/>
      </w:r>
      <w:r>
        <w:instrText xml:space="preserve"> REF _Ref397429138 \h  \* MERGEFORMAT </w:instrText>
      </w:r>
      <w:r>
        <w:fldChar w:fldCharType="separate"/>
      </w:r>
      <w:r w:rsidR="00A834F3" w:rsidRPr="00A834F3">
        <w:rPr>
          <w:b/>
          <w:sz w:val="22"/>
          <w:szCs w:val="22"/>
        </w:rPr>
        <w:t>Figure 5</w:t>
      </w:r>
      <w:r>
        <w:fldChar w:fldCharType="end"/>
      </w:r>
      <w:r w:rsidR="00486B6A">
        <w:rPr>
          <w:b/>
          <w:sz w:val="22"/>
          <w:szCs w:val="22"/>
        </w:rPr>
        <w:t xml:space="preserve"> </w:t>
      </w:r>
      <w:r w:rsidR="00326613" w:rsidRPr="00326613">
        <w:rPr>
          <w:sz w:val="22"/>
          <w:szCs w:val="22"/>
        </w:rPr>
        <w:t xml:space="preserve">is a simplified diagram of a </w:t>
      </w:r>
      <w:r w:rsidR="00E75BA9">
        <w:rPr>
          <w:sz w:val="22"/>
          <w:szCs w:val="22"/>
        </w:rPr>
        <w:t xml:space="preserve">CTG/HRSG pair such as used at the FPL Fort Myers Plant.  </w:t>
      </w:r>
    </w:p>
    <w:p w:rsidR="00D92CF6" w:rsidRPr="004C7936" w:rsidRDefault="00634733" w:rsidP="00E75BA9">
      <w:pPr>
        <w:pBdr>
          <w:top w:val="single" w:sz="12" w:space="1" w:color="auto"/>
          <w:left w:val="single" w:sz="12" w:space="4" w:color="auto"/>
          <w:bottom w:val="single" w:sz="12" w:space="1" w:color="auto"/>
          <w:right w:val="single" w:sz="12" w:space="4" w:color="auto"/>
        </w:pBdr>
        <w:spacing w:after="60"/>
        <w:rPr>
          <w:color w:val="000000"/>
          <w:sz w:val="24"/>
          <w:szCs w:val="24"/>
        </w:rPr>
      </w:pPr>
      <w:r>
        <w:rPr>
          <w:noProof/>
        </w:rPr>
        <w:pict>
          <v:shape id="_x0000_s1031" type="#_x0000_t202" style="position:absolute;margin-left:-5.1pt;margin-top:160.2pt;width:130.05pt;height:20.95pt;z-index:251713536;visibility:visible" o:regroupid="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d8IA&#10;AADbAAAADwAAAGRycy9kb3ducmV2LnhtbESPT2vCQBTE7wW/w/IKvdWNgn9IXUW0ggcvarw/sq/Z&#10;0OzbkH018dt3hUKPw8z8hlltBt+oO3WxDmxgMs5AEZfB1lwZKK6H9yWoKMgWm8Bk4EERNuvRywpz&#10;G3o+0/0ilUoQjjkacCJtrnUsHXmM49ASJ+8rdB4lya7StsM+wX2jp1k21x5rTgsOW9o5Kr8vP96A&#10;iN1OHsWnj8fbcNr3LitnWBjz9jpsP0AJDfIf/msfrYHFHJ5f0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b93wgAAANsAAAAPAAAAAAAAAAAAAAAAAJgCAABkcnMvZG93&#10;bnJldi54bWxQSwUGAAAAAAQABAD1AAAAhwMAAAAA&#10;" filled="f" stroked="f">
            <v:textbox style="mso-next-textbox:#_x0000_s1031">
              <w:txbxContent>
                <w:p w:rsidR="00A834F3" w:rsidRPr="00D0590E" w:rsidRDefault="00A834F3" w:rsidP="00486B6A">
                  <w:pPr>
                    <w:rPr>
                      <w:rFonts w:ascii="Calibri" w:hAnsi="Calibri" w:cs="Arial"/>
                      <w:b/>
                      <w:color w:val="FF0000"/>
                    </w:rPr>
                  </w:pPr>
                  <w:r>
                    <w:rPr>
                      <w:rFonts w:ascii="Calibri" w:hAnsi="Calibri" w:cs="Arial"/>
                      <w:b/>
                      <w:color w:val="FF0000"/>
                    </w:rPr>
                    <w:t>6</w:t>
                  </w:r>
                  <w:r w:rsidRPr="00CA2275">
                    <w:rPr>
                      <w:rFonts w:ascii="Calibri" w:hAnsi="Calibri" w:cs="Arial"/>
                      <w:b/>
                      <w:color w:val="FF0000"/>
                    </w:rPr>
                    <w:t xml:space="preserve"> </w:t>
                  </w:r>
                  <w:r>
                    <w:rPr>
                      <w:rFonts w:ascii="Calibri" w:hAnsi="Calibri" w:cs="Arial"/>
                      <w:b/>
                      <w:color w:val="FF0000"/>
                    </w:rPr>
                    <w:t>CTGs @ ~</w:t>
                  </w:r>
                  <w:r w:rsidRPr="00D0590E">
                    <w:rPr>
                      <w:rFonts w:ascii="Calibri" w:hAnsi="Calibri" w:cs="Arial"/>
                      <w:b/>
                      <w:color w:val="FF0000"/>
                    </w:rPr>
                    <w:t>170</w:t>
                  </w:r>
                  <w:r>
                    <w:rPr>
                      <w:rFonts w:ascii="Calibri" w:hAnsi="Calibri" w:cs="Arial"/>
                      <w:b/>
                      <w:color w:val="FF0000"/>
                    </w:rPr>
                    <w:t xml:space="preserve"> MW each</w:t>
                  </w:r>
                  <w:r w:rsidRPr="00D0590E">
                    <w:rPr>
                      <w:rFonts w:ascii="Calibri" w:hAnsi="Calibri" w:cs="Arial"/>
                      <w:b/>
                      <w:color w:val="FF0000"/>
                    </w:rPr>
                    <w:t xml:space="preserve"> MW</w:t>
                  </w:r>
                </w:p>
              </w:txbxContent>
            </v:textbox>
          </v:shape>
        </w:pict>
      </w:r>
      <w:r>
        <w:rPr>
          <w:noProof/>
        </w:rPr>
        <w:pict>
          <v:shape id="_x0000_s1028" type="#_x0000_t202" style="position:absolute;margin-left:6.7pt;margin-top:9.65pt;width:429.85pt;height:34.9pt;z-index:251715584;visibility:visible" o:regroupid="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yMMcIA&#10;AADbAAAADwAAAGRycy9kb3ducmV2LnhtbESPT2vCQBTE7wW/w/IKvdWNgn9IXUW0ggcvarw/sq/Z&#10;0OzbkH018dt3hUKPw8z8hlltBt+oO3WxDmxgMs5AEZfB1lwZKK6H9yWoKMgWm8Bk4EERNuvRywpz&#10;G3o+0/0ilUoQjjkacCJtrnUsHXmM49ASJ+8rdB4lya7StsM+wX2jp1k21x5rTgsOW9o5Kr8vP96A&#10;iN1OHsWnj8fbcNr3LitnWBjz9jpsP0AJDfIf/msfrYH5Ap5f0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IwxwgAAANsAAAAPAAAAAAAAAAAAAAAAAJgCAABkcnMvZG93&#10;bnJldi54bWxQSwUGAAAAAAQABAD1AAAAhwMAAAAA&#10;" fillcolor="white [3212]" stroked="f">
            <v:textbox style="mso-next-textbox:#_x0000_s1028">
              <w:txbxContent>
                <w:p w:rsidR="00A834F3" w:rsidRPr="00D0590E" w:rsidRDefault="00A834F3" w:rsidP="00D0590E">
                  <w:pPr>
                    <w:spacing w:before="240" w:after="240"/>
                    <w:jc w:val="center"/>
                    <w:rPr>
                      <w:rFonts w:ascii="Arial" w:hAnsi="Arial" w:cs="Arial"/>
                      <w:b/>
                      <w:color w:val="FF0000"/>
                      <w:sz w:val="18"/>
                      <w:szCs w:val="18"/>
                    </w:rPr>
                  </w:pPr>
                  <w:r>
                    <w:rPr>
                      <w:rFonts w:ascii="Arial" w:hAnsi="Arial" w:cs="Arial"/>
                      <w:b/>
                      <w:color w:val="FF0000"/>
                      <w:sz w:val="18"/>
                      <w:szCs w:val="18"/>
                    </w:rPr>
                    <w:t>Combustion Turbine Generator</w:t>
                  </w:r>
                  <w:r>
                    <w:rPr>
                      <w:rFonts w:ascii="Arial" w:hAnsi="Arial" w:cs="Arial"/>
                      <w:b/>
                      <w:color w:val="FF0000"/>
                      <w:sz w:val="18"/>
                      <w:szCs w:val="18"/>
                    </w:rPr>
                    <w:tab/>
                  </w:r>
                  <w:r>
                    <w:rPr>
                      <w:rFonts w:ascii="Arial" w:hAnsi="Arial" w:cs="Arial"/>
                      <w:b/>
                      <w:color w:val="FF0000"/>
                      <w:sz w:val="18"/>
                      <w:szCs w:val="18"/>
                    </w:rPr>
                    <w:tab/>
                  </w:r>
                  <w:r>
                    <w:rPr>
                      <w:rFonts w:ascii="Arial" w:hAnsi="Arial" w:cs="Arial"/>
                      <w:b/>
                      <w:color w:val="FF0000"/>
                      <w:sz w:val="18"/>
                      <w:szCs w:val="18"/>
                    </w:rPr>
                    <w:tab/>
                  </w:r>
                  <w:r>
                    <w:rPr>
                      <w:rFonts w:ascii="Arial" w:hAnsi="Arial" w:cs="Arial"/>
                      <w:b/>
                      <w:color w:val="FF0000"/>
                      <w:sz w:val="18"/>
                      <w:szCs w:val="18"/>
                    </w:rPr>
                    <w:tab/>
                  </w:r>
                  <w:r>
                    <w:rPr>
                      <w:rFonts w:ascii="Arial" w:hAnsi="Arial" w:cs="Arial"/>
                      <w:b/>
                      <w:color w:val="FF0000"/>
                      <w:sz w:val="18"/>
                      <w:szCs w:val="18"/>
                    </w:rPr>
                    <w:tab/>
                  </w:r>
                  <w:r>
                    <w:rPr>
                      <w:rFonts w:ascii="Arial" w:hAnsi="Arial" w:cs="Arial"/>
                      <w:b/>
                      <w:color w:val="FF0000"/>
                      <w:sz w:val="18"/>
                      <w:szCs w:val="18"/>
                    </w:rPr>
                    <w:tab/>
                  </w:r>
                  <w:r>
                    <w:rPr>
                      <w:rFonts w:ascii="Arial" w:hAnsi="Arial" w:cs="Arial"/>
                      <w:b/>
                      <w:color w:val="FF0000"/>
                      <w:sz w:val="18"/>
                      <w:szCs w:val="18"/>
                    </w:rPr>
                    <w:tab/>
                  </w:r>
                  <w:r>
                    <w:rPr>
                      <w:rFonts w:ascii="Arial" w:hAnsi="Arial" w:cs="Arial"/>
                      <w:b/>
                      <w:color w:val="FF0000"/>
                      <w:sz w:val="18"/>
                      <w:szCs w:val="18"/>
                    </w:rPr>
                    <w:tab/>
                    <w:t>Heat Recovery Steam Generator</w:t>
                  </w:r>
                </w:p>
              </w:txbxContent>
            </v:textbox>
          </v:shape>
        </w:pict>
      </w:r>
      <w:r>
        <w:rPr>
          <w:noProof/>
        </w:rPr>
        <w:pict>
          <v:shape id="_x0000_s1030" type="#_x0000_t202" style="position:absolute;margin-left:433.85pt;margin-top:53.85pt;width:43.6pt;height:25.6pt;z-index:251712512;visibility:visible" o:regroupid="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shAMEA&#10;AADbAAAADwAAAGRycy9kb3ducmV2LnhtbESPQWvCQBSE7wX/w/IK3upGwSqpq4hW8NCLGu+P7Gs2&#10;NPs2ZF9N/PfdguBxmJlvmNVm8I26URfrwAamkwwUcRlszZWB4nJ4W4KKgmyxCUwG7hRhsx69rDC3&#10;oecT3c5SqQThmKMBJ9LmWsfSkcc4CS1x8r5D51GS7CptO+wT3Dd6lmXv2mPNacFhSztH5c/51xsQ&#10;sdvpvfj08Xgdvva9y8o5FsaMX4ftByihQZ7hR/toDSzm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rIQDBAAAA2wAAAA8AAAAAAAAAAAAAAAAAmAIAAGRycy9kb3du&#10;cmV2LnhtbFBLBQYAAAAABAAEAPUAAACGAwAAAAA=&#10;" filled="f" stroked="f">
            <v:textbox style="mso-next-textbox:#_x0000_s1030;mso-fit-shape-to-text:t">
              <w:txbxContent>
                <w:p w:rsidR="00A834F3" w:rsidRPr="00D0590E" w:rsidRDefault="00A834F3" w:rsidP="00F37B77">
                  <w:pPr>
                    <w:jc w:val="center"/>
                    <w:rPr>
                      <w:rFonts w:ascii="Arial" w:hAnsi="Arial" w:cs="Arial"/>
                      <w:b/>
                      <w:color w:val="FF0000"/>
                      <w:sz w:val="16"/>
                      <w:szCs w:val="16"/>
                    </w:rPr>
                  </w:pPr>
                  <w:r w:rsidRPr="00D0590E">
                    <w:rPr>
                      <w:rFonts w:ascii="Arial" w:hAnsi="Arial" w:cs="Arial"/>
                      <w:b/>
                      <w:color w:val="FF0000"/>
                      <w:sz w:val="16"/>
                      <w:szCs w:val="16"/>
                    </w:rPr>
                    <w:t>HRSG</w:t>
                  </w:r>
                  <w:r w:rsidRPr="00D0590E">
                    <w:rPr>
                      <w:rFonts w:ascii="Arial" w:hAnsi="Arial" w:cs="Arial"/>
                      <w:b/>
                      <w:color w:val="FF0000"/>
                      <w:sz w:val="16"/>
                      <w:szCs w:val="16"/>
                    </w:rPr>
                    <w:br/>
                    <w:t>Stack</w:t>
                  </w:r>
                </w:p>
              </w:txbxContent>
            </v:textbox>
          </v:shape>
        </w:pict>
      </w:r>
      <w:r>
        <w:rPr>
          <w:noProof/>
        </w:rPr>
        <w:pict>
          <v:shape id="_x0000_s1032" type="#_x0000_t202" style="position:absolute;margin-left:210.9pt;margin-top:71.95pt;width:45.15pt;height:34.8pt;z-index:251714560;visibility:visible" o:regroupid="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a7MIA&#10;AADbAAAADwAAAGRycy9kb3ducmV2LnhtbESPzWrDMBCE74W+g9hAbo2cQpvgRDahP5BDL02c+2Jt&#10;LBNrZaxt7Lx9VCj0OMzMN8y2nHynrjTENrCB5SIDRVwH23JjoDp+Pq1BRUG22AUmAzeKUBaPD1vM&#10;bRj5m64HaVSCcMzRgBPpc61j7chjXISeOHnnMHiUJIdG2wHHBPedfs6yV+2x5bTgsKc3R/Xl8OMN&#10;iNjd8lZ9+Lg/TV/vo8vqF6yMmc+m3QaU0CT/4b/23hpYre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tRrswgAAANsAAAAPAAAAAAAAAAAAAAAAAJgCAABkcnMvZG93&#10;bnJldi54bWxQSwUGAAAAAAQABAD1AAAAhwMAAAAA&#10;" filled="f" stroked="f">
            <v:textbox style="mso-next-textbox:#_x0000_s1032;mso-fit-shape-to-text:t">
              <w:txbxContent>
                <w:p w:rsidR="00A834F3" w:rsidRPr="00D0590E" w:rsidRDefault="00A834F3" w:rsidP="00F37B77">
                  <w:pPr>
                    <w:jc w:val="center"/>
                    <w:rPr>
                      <w:rFonts w:ascii="Arial" w:hAnsi="Arial" w:cs="Arial"/>
                      <w:b/>
                      <w:color w:val="FF0000"/>
                      <w:sz w:val="16"/>
                      <w:szCs w:val="16"/>
                    </w:rPr>
                  </w:pPr>
                  <w:r w:rsidRPr="00D0590E">
                    <w:rPr>
                      <w:rFonts w:ascii="Arial" w:hAnsi="Arial" w:cs="Arial"/>
                      <w:b/>
                      <w:color w:val="FF0000"/>
                      <w:sz w:val="16"/>
                      <w:szCs w:val="16"/>
                    </w:rPr>
                    <w:t>Bypass</w:t>
                  </w:r>
                  <w:r w:rsidRPr="00D0590E">
                    <w:rPr>
                      <w:rFonts w:ascii="Arial" w:hAnsi="Arial" w:cs="Arial"/>
                      <w:b/>
                      <w:color w:val="FF0000"/>
                      <w:sz w:val="16"/>
                      <w:szCs w:val="16"/>
                    </w:rPr>
                    <w:br/>
                    <w:t>Stack</w:t>
                  </w:r>
                </w:p>
              </w:txbxContent>
            </v:textbox>
          </v:shape>
        </w:pict>
      </w:r>
      <w:r w:rsidR="000B4265" w:rsidRPr="000B4265">
        <w:rPr>
          <w:noProof/>
          <w:color w:val="000000"/>
          <w:sz w:val="24"/>
          <w:szCs w:val="24"/>
        </w:rPr>
        <w:drawing>
          <wp:inline distT="0" distB="0" distL="0" distR="0">
            <wp:extent cx="2594496" cy="900752"/>
            <wp:effectExtent l="19050" t="0" r="0" b="0"/>
            <wp:docPr id="1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y.jpg"/>
                    <pic:cNvPicPr/>
                  </pic:nvPicPr>
                  <pic:blipFill>
                    <a:blip r:embed="rId16" cstate="print">
                      <a:extLst>
                        <a:ext uri="{28A0092B-C50C-407E-A947-70E740481C1C}">
                          <a14:useLocalDpi xmlns:a14="http://schemas.microsoft.com/office/drawing/2010/main" val="0"/>
                        </a:ext>
                      </a:extLst>
                    </a:blip>
                    <a:srcRect l="2306" t="56634" r="52506" b="9524"/>
                    <a:stretch>
                      <a:fillRect/>
                    </a:stretch>
                  </pic:blipFill>
                  <pic:spPr>
                    <a:xfrm>
                      <a:off x="0" y="0"/>
                      <a:ext cx="2594496" cy="900752"/>
                    </a:xfrm>
                    <a:prstGeom prst="rect">
                      <a:avLst/>
                    </a:prstGeom>
                    <a:ln w="19050">
                      <a:noFill/>
                    </a:ln>
                  </pic:spPr>
                </pic:pic>
              </a:graphicData>
            </a:graphic>
          </wp:inline>
        </w:drawing>
      </w:r>
      <w:r w:rsidR="000B4265">
        <w:rPr>
          <w:noProof/>
          <w:color w:val="000000"/>
          <w:sz w:val="24"/>
          <w:szCs w:val="24"/>
        </w:rPr>
        <w:drawing>
          <wp:inline distT="0" distB="0" distL="0" distR="0">
            <wp:extent cx="3665846" cy="3120886"/>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srcRect l="4000" t="3044" r="2421" b="2576"/>
                    <a:stretch>
                      <a:fillRect/>
                    </a:stretch>
                  </pic:blipFill>
                  <pic:spPr bwMode="auto">
                    <a:xfrm>
                      <a:off x="0" y="0"/>
                      <a:ext cx="3673495" cy="3127398"/>
                    </a:xfrm>
                    <a:prstGeom prst="rect">
                      <a:avLst/>
                    </a:prstGeom>
                    <a:noFill/>
                    <a:ln w="9525">
                      <a:noFill/>
                      <a:miter lim="800000"/>
                      <a:headEnd/>
                      <a:tailEnd/>
                    </a:ln>
                  </pic:spPr>
                </pic:pic>
              </a:graphicData>
            </a:graphic>
          </wp:inline>
        </w:drawing>
      </w:r>
    </w:p>
    <w:p w:rsidR="00F37B77" w:rsidRDefault="00F37B77" w:rsidP="00F37B77">
      <w:pPr>
        <w:pStyle w:val="Caption"/>
        <w:spacing w:before="0"/>
        <w:rPr>
          <w:caps w:val="0"/>
          <w:szCs w:val="22"/>
        </w:rPr>
      </w:pPr>
      <w:bookmarkStart w:id="6" w:name="_Ref397429138"/>
      <w:bookmarkStart w:id="7" w:name="_Ref404253425"/>
      <w:r>
        <w:rPr>
          <w:caps w:val="0"/>
        </w:rPr>
        <w:t xml:space="preserve">Figure </w:t>
      </w:r>
      <w:r w:rsidR="00634733">
        <w:fldChar w:fldCharType="begin"/>
      </w:r>
      <w:r w:rsidR="00634733">
        <w:instrText xml:space="preserve"> SEQ Figure \* ARABIC </w:instrText>
      </w:r>
      <w:r w:rsidR="00634733">
        <w:fldChar w:fldCharType="separate"/>
      </w:r>
      <w:r w:rsidR="00A834F3">
        <w:rPr>
          <w:noProof/>
        </w:rPr>
        <w:t>5</w:t>
      </w:r>
      <w:r w:rsidR="00634733">
        <w:rPr>
          <w:noProof/>
        </w:rPr>
        <w:fldChar w:fldCharType="end"/>
      </w:r>
      <w:bookmarkEnd w:id="6"/>
      <w:r w:rsidRPr="00A43B8F">
        <w:rPr>
          <w:caps w:val="0"/>
          <w:szCs w:val="22"/>
        </w:rPr>
        <w:t xml:space="preserve">.  </w:t>
      </w:r>
      <w:r w:rsidR="00D0590E">
        <w:rPr>
          <w:caps w:val="0"/>
          <w:szCs w:val="22"/>
        </w:rPr>
        <w:t>One of Six Combustion Turbine/HRSG Pairs that Comprise FPL Combined Cycle Unit 2</w:t>
      </w:r>
      <w:r>
        <w:rPr>
          <w:caps w:val="0"/>
          <w:szCs w:val="22"/>
        </w:rPr>
        <w:t>.</w:t>
      </w:r>
    </w:p>
    <w:p w:rsidR="00E75BA9" w:rsidRPr="00AC0AAF" w:rsidRDefault="00CA2275" w:rsidP="00E75BA9">
      <w:pPr>
        <w:spacing w:after="120"/>
        <w:rPr>
          <w:sz w:val="22"/>
          <w:szCs w:val="22"/>
        </w:rPr>
      </w:pPr>
      <w:r>
        <w:rPr>
          <w:sz w:val="22"/>
          <w:szCs w:val="22"/>
        </w:rPr>
        <w:t xml:space="preserve">Natural gas </w:t>
      </w:r>
      <w:r w:rsidR="00E75BA9">
        <w:rPr>
          <w:sz w:val="22"/>
          <w:szCs w:val="22"/>
        </w:rPr>
        <w:t xml:space="preserve">is burned in </w:t>
      </w:r>
      <w:r>
        <w:rPr>
          <w:sz w:val="22"/>
          <w:szCs w:val="22"/>
        </w:rPr>
        <w:t xml:space="preserve">each </w:t>
      </w:r>
      <w:r w:rsidR="00E75BA9">
        <w:rPr>
          <w:sz w:val="22"/>
          <w:szCs w:val="22"/>
        </w:rPr>
        <w:t xml:space="preserve">CTG.  </w:t>
      </w:r>
      <w:r w:rsidR="00D0590E">
        <w:rPr>
          <w:sz w:val="22"/>
          <w:szCs w:val="22"/>
        </w:rPr>
        <w:t xml:space="preserve">The mechanical energy produced operates the compressor section of </w:t>
      </w:r>
      <w:r>
        <w:rPr>
          <w:sz w:val="22"/>
          <w:szCs w:val="22"/>
        </w:rPr>
        <w:t xml:space="preserve">each </w:t>
      </w:r>
      <w:r w:rsidR="00D0590E">
        <w:rPr>
          <w:sz w:val="22"/>
          <w:szCs w:val="22"/>
        </w:rPr>
        <w:t xml:space="preserve">CTG and also drives an electric generator.  </w:t>
      </w:r>
      <w:r>
        <w:rPr>
          <w:sz w:val="22"/>
          <w:szCs w:val="22"/>
        </w:rPr>
        <w:t xml:space="preserve">Each </w:t>
      </w:r>
      <w:r w:rsidR="00D0590E">
        <w:rPr>
          <w:sz w:val="22"/>
          <w:szCs w:val="22"/>
        </w:rPr>
        <w:t xml:space="preserve">CTG is </w:t>
      </w:r>
      <w:r w:rsidR="00D0590E" w:rsidRPr="009A3A76">
        <w:rPr>
          <w:sz w:val="22"/>
          <w:szCs w:val="22"/>
        </w:rPr>
        <w:t xml:space="preserve">rated at approximately </w:t>
      </w:r>
      <w:r w:rsidR="00D0590E">
        <w:rPr>
          <w:sz w:val="22"/>
          <w:szCs w:val="22"/>
        </w:rPr>
        <w:t xml:space="preserve">170 </w:t>
      </w:r>
      <w:r w:rsidR="00D0590E" w:rsidRPr="009A3A76">
        <w:rPr>
          <w:sz w:val="22"/>
          <w:szCs w:val="22"/>
        </w:rPr>
        <w:t>MW.  The generation capacity is highly dependent upon ambient conditions</w:t>
      </w:r>
      <w:r w:rsidR="00D0590E">
        <w:rPr>
          <w:sz w:val="22"/>
          <w:szCs w:val="22"/>
        </w:rPr>
        <w:t xml:space="preserve">. </w:t>
      </w:r>
      <w:r w:rsidR="00D0590E" w:rsidRPr="009A3A76">
        <w:rPr>
          <w:sz w:val="22"/>
          <w:szCs w:val="22"/>
        </w:rPr>
        <w:t xml:space="preserve"> </w:t>
      </w:r>
      <w:r w:rsidR="00D0590E">
        <w:rPr>
          <w:sz w:val="22"/>
          <w:szCs w:val="22"/>
        </w:rPr>
        <w:t>The turbine exhaust gas (TEG) exits the CTGs at temperatures in the range of 1,000 to 1,100 degrees Fahrenheit (</w:t>
      </w:r>
      <w:r w:rsidR="00D0590E" w:rsidRPr="00FF77B1">
        <w:rPr>
          <w:sz w:val="22"/>
          <w:szCs w:val="22"/>
        </w:rPr>
        <w:t>°F)</w:t>
      </w:r>
      <w:r w:rsidR="00D0590E">
        <w:rPr>
          <w:sz w:val="22"/>
          <w:szCs w:val="22"/>
        </w:rPr>
        <w:t xml:space="preserve">.  The heat contained in the TEG is used to </w:t>
      </w:r>
      <w:r w:rsidR="00D0590E" w:rsidRPr="00AC0AAF">
        <w:rPr>
          <w:sz w:val="22"/>
          <w:szCs w:val="22"/>
        </w:rPr>
        <w:t xml:space="preserve">produce steam in </w:t>
      </w:r>
      <w:r w:rsidRPr="00AC0AAF">
        <w:rPr>
          <w:sz w:val="22"/>
          <w:szCs w:val="22"/>
        </w:rPr>
        <w:t xml:space="preserve">each </w:t>
      </w:r>
      <w:r w:rsidR="00D0590E" w:rsidRPr="00AC0AAF">
        <w:rPr>
          <w:sz w:val="22"/>
          <w:szCs w:val="22"/>
        </w:rPr>
        <w:t xml:space="preserve">HRSG.  The steam from the </w:t>
      </w:r>
      <w:r w:rsidR="00E75BA9" w:rsidRPr="00AC0AAF">
        <w:rPr>
          <w:sz w:val="22"/>
          <w:szCs w:val="22"/>
        </w:rPr>
        <w:t>six CTG/</w:t>
      </w:r>
      <w:r w:rsidR="00D0590E" w:rsidRPr="00AC0AAF">
        <w:rPr>
          <w:sz w:val="22"/>
          <w:szCs w:val="22"/>
        </w:rPr>
        <w:t xml:space="preserve">HRSG </w:t>
      </w:r>
      <w:r w:rsidR="00E75BA9" w:rsidRPr="00AC0AAF">
        <w:rPr>
          <w:sz w:val="22"/>
          <w:szCs w:val="22"/>
        </w:rPr>
        <w:t xml:space="preserve">pairs </w:t>
      </w:r>
      <w:r w:rsidR="00D0590E" w:rsidRPr="00AC0AAF">
        <w:rPr>
          <w:sz w:val="22"/>
          <w:szCs w:val="22"/>
        </w:rPr>
        <w:t xml:space="preserve">drives a separate </w:t>
      </w:r>
      <w:r w:rsidR="00E75BA9" w:rsidRPr="00AC0AAF">
        <w:rPr>
          <w:sz w:val="22"/>
          <w:szCs w:val="22"/>
        </w:rPr>
        <w:t>steam turbine-generator (STG) system</w:t>
      </w:r>
      <w:r w:rsidRPr="00AC0AAF">
        <w:rPr>
          <w:sz w:val="22"/>
          <w:szCs w:val="22"/>
        </w:rPr>
        <w:t>.  The STG</w:t>
      </w:r>
      <w:r w:rsidR="003B61DD">
        <w:rPr>
          <w:sz w:val="22"/>
          <w:szCs w:val="22"/>
        </w:rPr>
        <w:t>s</w:t>
      </w:r>
      <w:r w:rsidRPr="00AC0AAF">
        <w:rPr>
          <w:sz w:val="22"/>
          <w:szCs w:val="22"/>
        </w:rPr>
        <w:t xml:space="preserve"> </w:t>
      </w:r>
      <w:r w:rsidR="003B61DD">
        <w:rPr>
          <w:sz w:val="22"/>
          <w:szCs w:val="22"/>
        </w:rPr>
        <w:t>were</w:t>
      </w:r>
      <w:r w:rsidR="00E75BA9" w:rsidRPr="00AC0AAF">
        <w:rPr>
          <w:sz w:val="22"/>
          <w:szCs w:val="22"/>
        </w:rPr>
        <w:t xml:space="preserve"> retained from two older conventional residual oil-fueled units that previously operated at the site.</w:t>
      </w:r>
      <w:r w:rsidRPr="00AC0AAF">
        <w:rPr>
          <w:sz w:val="22"/>
          <w:szCs w:val="22"/>
        </w:rPr>
        <w:t xml:space="preserve">  </w:t>
      </w:r>
      <w:r w:rsidR="00297106" w:rsidRPr="00AC0AAF">
        <w:rPr>
          <w:sz w:val="22"/>
          <w:szCs w:val="22"/>
        </w:rPr>
        <w:t xml:space="preserve">Two STGs from original Units 1 and 2 were </w:t>
      </w:r>
      <w:r w:rsidRPr="00AC0AAF">
        <w:rPr>
          <w:sz w:val="22"/>
          <w:szCs w:val="22"/>
        </w:rPr>
        <w:t xml:space="preserve">reconfigured </w:t>
      </w:r>
      <w:r w:rsidR="00297106" w:rsidRPr="00AC0AAF">
        <w:rPr>
          <w:sz w:val="22"/>
          <w:szCs w:val="22"/>
        </w:rPr>
        <w:t xml:space="preserve">as shown in </w:t>
      </w:r>
      <w:r w:rsidR="00BA5A58">
        <w:fldChar w:fldCharType="begin"/>
      </w:r>
      <w:r w:rsidR="00BA5A58">
        <w:instrText xml:space="preserve"> REF _Ref407549411 \h  \* MERGEFORMAT </w:instrText>
      </w:r>
      <w:r w:rsidR="00BA5A58">
        <w:fldChar w:fldCharType="separate"/>
      </w:r>
      <w:r w:rsidR="00A834F3" w:rsidRPr="00A834F3">
        <w:rPr>
          <w:b/>
          <w:sz w:val="22"/>
          <w:szCs w:val="22"/>
        </w:rPr>
        <w:t>Figure 6</w:t>
      </w:r>
      <w:r w:rsidR="00BA5A58">
        <w:fldChar w:fldCharType="end"/>
      </w:r>
      <w:r w:rsidR="00AC0AAF">
        <w:rPr>
          <w:sz w:val="22"/>
          <w:szCs w:val="22"/>
        </w:rPr>
        <w:t>.  T</w:t>
      </w:r>
      <w:r w:rsidR="00297106" w:rsidRPr="00AC0AAF">
        <w:rPr>
          <w:sz w:val="22"/>
          <w:szCs w:val="22"/>
        </w:rPr>
        <w:t xml:space="preserve">he resulting system </w:t>
      </w:r>
      <w:r w:rsidRPr="00AC0AAF">
        <w:rPr>
          <w:sz w:val="22"/>
          <w:szCs w:val="22"/>
        </w:rPr>
        <w:t>operate</w:t>
      </w:r>
      <w:r w:rsidR="00AC0AAF">
        <w:rPr>
          <w:sz w:val="22"/>
          <w:szCs w:val="22"/>
        </w:rPr>
        <w:t>s</w:t>
      </w:r>
      <w:r w:rsidRPr="00AC0AAF">
        <w:rPr>
          <w:sz w:val="22"/>
          <w:szCs w:val="22"/>
        </w:rPr>
        <w:t xml:space="preserve"> with the </w:t>
      </w:r>
      <w:r w:rsidR="003B61DD">
        <w:rPr>
          <w:sz w:val="22"/>
          <w:szCs w:val="22"/>
        </w:rPr>
        <w:t xml:space="preserve">six </w:t>
      </w:r>
      <w:r w:rsidRPr="00AC0AAF">
        <w:rPr>
          <w:sz w:val="22"/>
          <w:szCs w:val="22"/>
        </w:rPr>
        <w:t>CTG</w:t>
      </w:r>
      <w:r w:rsidR="00AC0AAF">
        <w:rPr>
          <w:sz w:val="22"/>
          <w:szCs w:val="22"/>
        </w:rPr>
        <w:t>/HRSG pairs</w:t>
      </w:r>
      <w:r w:rsidRPr="00AC0AAF">
        <w:rPr>
          <w:sz w:val="22"/>
          <w:szCs w:val="22"/>
        </w:rPr>
        <w:t xml:space="preserve"> and </w:t>
      </w:r>
      <w:r w:rsidR="00AC0AAF">
        <w:rPr>
          <w:sz w:val="22"/>
          <w:szCs w:val="22"/>
        </w:rPr>
        <w:t xml:space="preserve">can </w:t>
      </w:r>
      <w:r w:rsidRPr="00AC0AAF">
        <w:rPr>
          <w:sz w:val="22"/>
          <w:szCs w:val="22"/>
        </w:rPr>
        <w:t>generate a</w:t>
      </w:r>
      <w:r w:rsidR="00AC0AAF">
        <w:rPr>
          <w:sz w:val="22"/>
          <w:szCs w:val="22"/>
        </w:rPr>
        <w:t xml:space="preserve">nother </w:t>
      </w:r>
      <w:r w:rsidR="00297106" w:rsidRPr="00AC0AAF">
        <w:rPr>
          <w:sz w:val="22"/>
          <w:szCs w:val="22"/>
        </w:rPr>
        <w:t>550</w:t>
      </w:r>
      <w:r w:rsidRPr="00AC0AAF">
        <w:rPr>
          <w:sz w:val="22"/>
          <w:szCs w:val="22"/>
        </w:rPr>
        <w:t xml:space="preserve"> MW.</w:t>
      </w:r>
    </w:p>
    <w:p w:rsidR="00CA2275" w:rsidRDefault="00634733" w:rsidP="00AC0AAF">
      <w:pPr>
        <w:spacing w:after="60"/>
        <w:jc w:val="center"/>
        <w:rPr>
          <w:sz w:val="22"/>
          <w:szCs w:val="22"/>
        </w:rPr>
      </w:pPr>
      <w:r>
        <w:rPr>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234pt" o:bordertopcolor="this" o:borderleftcolor="this" o:borderbottomcolor="this" o:borderrightcolor="this">
            <v:imagedata r:id="rId18" o:title="2014-12-28_1407" croptop="6623f" cropleft="631f" cropright="16768f"/>
            <w10:bordertop type="single" width="12"/>
            <w10:borderleft type="single" width="12"/>
            <w10:borderbottom type="single" width="12"/>
            <w10:borderright type="single" width="12"/>
          </v:shape>
        </w:pict>
      </w:r>
    </w:p>
    <w:p w:rsidR="00CA2275" w:rsidRPr="00AC0AAF" w:rsidRDefault="00AC0AAF" w:rsidP="00AC0AAF">
      <w:pPr>
        <w:pStyle w:val="Caption"/>
        <w:spacing w:before="0"/>
        <w:rPr>
          <w:rFonts w:ascii="Times New Roman Bold" w:hAnsi="Times New Roman Bold"/>
          <w:caps w:val="0"/>
          <w:szCs w:val="22"/>
        </w:rPr>
      </w:pPr>
      <w:bookmarkStart w:id="8" w:name="_Ref407549411"/>
      <w:r w:rsidRPr="00AC0AAF">
        <w:rPr>
          <w:rFonts w:ascii="Times New Roman Bold" w:hAnsi="Times New Roman Bold"/>
          <w:caps w:val="0"/>
        </w:rPr>
        <w:t xml:space="preserve">Figure </w:t>
      </w:r>
      <w:r w:rsidR="00515AEA" w:rsidRPr="00AC0AAF">
        <w:rPr>
          <w:rFonts w:ascii="Times New Roman Bold" w:hAnsi="Times New Roman Bold"/>
          <w:caps w:val="0"/>
        </w:rPr>
        <w:fldChar w:fldCharType="begin"/>
      </w:r>
      <w:r w:rsidRPr="00AC0AAF">
        <w:rPr>
          <w:rFonts w:ascii="Times New Roman Bold" w:hAnsi="Times New Roman Bold"/>
          <w:caps w:val="0"/>
        </w:rPr>
        <w:instrText xml:space="preserve"> SEQ Figure \* ARABIC </w:instrText>
      </w:r>
      <w:r w:rsidR="00515AEA" w:rsidRPr="00AC0AAF">
        <w:rPr>
          <w:rFonts w:ascii="Times New Roman Bold" w:hAnsi="Times New Roman Bold"/>
          <w:caps w:val="0"/>
        </w:rPr>
        <w:fldChar w:fldCharType="separate"/>
      </w:r>
      <w:r w:rsidR="00A834F3">
        <w:rPr>
          <w:rFonts w:ascii="Times New Roman Bold" w:hAnsi="Times New Roman Bold"/>
          <w:caps w:val="0"/>
          <w:noProof/>
        </w:rPr>
        <w:t>6</w:t>
      </w:r>
      <w:r w:rsidR="00515AEA" w:rsidRPr="00AC0AAF">
        <w:rPr>
          <w:rFonts w:ascii="Times New Roman Bold" w:hAnsi="Times New Roman Bold"/>
          <w:caps w:val="0"/>
        </w:rPr>
        <w:fldChar w:fldCharType="end"/>
      </w:r>
      <w:bookmarkEnd w:id="8"/>
      <w:r>
        <w:rPr>
          <w:rFonts w:ascii="Times New Roman Bold" w:hAnsi="Times New Roman Bold"/>
          <w:caps w:val="0"/>
        </w:rPr>
        <w:t xml:space="preserve">.  STG System Receives Steam from </w:t>
      </w:r>
      <w:r w:rsidR="00696E41">
        <w:rPr>
          <w:rFonts w:ascii="Times New Roman Bold" w:hAnsi="Times New Roman Bold"/>
          <w:caps w:val="0"/>
        </w:rPr>
        <w:t xml:space="preserve">Six </w:t>
      </w:r>
      <w:r>
        <w:rPr>
          <w:rFonts w:ascii="Times New Roman Bold" w:hAnsi="Times New Roman Bold"/>
          <w:caps w:val="0"/>
        </w:rPr>
        <w:t>CTG/HRSG Pairs and Generates Approximately 550 MW.</w:t>
      </w:r>
    </w:p>
    <w:bookmarkEnd w:id="7"/>
    <w:p w:rsidR="008472DA" w:rsidRPr="00C72C28" w:rsidRDefault="00AC0AAF" w:rsidP="008472DA">
      <w:pPr>
        <w:pStyle w:val="ListParagraph"/>
        <w:numPr>
          <w:ilvl w:val="1"/>
          <w:numId w:val="1"/>
        </w:numPr>
        <w:tabs>
          <w:tab w:val="left" w:pos="450"/>
        </w:tabs>
        <w:spacing w:before="120" w:after="120"/>
        <w:ind w:left="446" w:hanging="446"/>
        <w:contextualSpacing w:val="0"/>
        <w:rPr>
          <w:b/>
          <w:bCs/>
          <w:sz w:val="22"/>
          <w:szCs w:val="22"/>
        </w:rPr>
      </w:pPr>
      <w:r w:rsidRPr="00C72C28">
        <w:rPr>
          <w:b/>
          <w:bCs/>
          <w:sz w:val="22"/>
          <w:szCs w:val="22"/>
        </w:rPr>
        <w:lastRenderedPageBreak/>
        <w:t>FPL</w:t>
      </w:r>
      <w:r w:rsidR="008472DA" w:rsidRPr="00C72C28">
        <w:rPr>
          <w:b/>
          <w:bCs/>
          <w:sz w:val="22"/>
          <w:szCs w:val="22"/>
        </w:rPr>
        <w:t xml:space="preserve"> </w:t>
      </w:r>
      <w:r w:rsidRPr="00C72C28">
        <w:rPr>
          <w:b/>
          <w:bCs/>
          <w:sz w:val="22"/>
          <w:szCs w:val="22"/>
        </w:rPr>
        <w:t>Fort Myers Power Plant</w:t>
      </w:r>
      <w:r w:rsidR="008472DA" w:rsidRPr="00C72C28">
        <w:rPr>
          <w:b/>
          <w:bCs/>
          <w:sz w:val="22"/>
          <w:szCs w:val="22"/>
        </w:rPr>
        <w:t xml:space="preserve"> Proposed </w:t>
      </w:r>
      <w:r w:rsidR="00734763" w:rsidRPr="00C72C28">
        <w:rPr>
          <w:b/>
          <w:bCs/>
          <w:sz w:val="22"/>
          <w:szCs w:val="22"/>
        </w:rPr>
        <w:t xml:space="preserve">7FA.04/7FA.05 Upgrade </w:t>
      </w:r>
      <w:r w:rsidR="008472DA" w:rsidRPr="00C72C28">
        <w:rPr>
          <w:b/>
          <w:bCs/>
          <w:sz w:val="22"/>
          <w:szCs w:val="22"/>
        </w:rPr>
        <w:t>Project</w:t>
      </w:r>
    </w:p>
    <w:p w:rsidR="00C04F71" w:rsidRPr="00C72C28" w:rsidRDefault="00BA5A58" w:rsidP="00734763">
      <w:pPr>
        <w:widowControl w:val="0"/>
        <w:spacing w:after="120"/>
        <w:rPr>
          <w:sz w:val="22"/>
          <w:szCs w:val="22"/>
        </w:rPr>
      </w:pPr>
      <w:r>
        <w:fldChar w:fldCharType="begin"/>
      </w:r>
      <w:r>
        <w:instrText xml:space="preserve"> REF _Ref404587918 \h  \* MERGEFORMAT </w:instrText>
      </w:r>
      <w:r>
        <w:fldChar w:fldCharType="separate"/>
      </w:r>
      <w:r w:rsidR="00A834F3" w:rsidRPr="00A834F3">
        <w:rPr>
          <w:b/>
          <w:sz w:val="22"/>
          <w:szCs w:val="22"/>
        </w:rPr>
        <w:t>Figure 7</w:t>
      </w:r>
      <w:r>
        <w:fldChar w:fldCharType="end"/>
      </w:r>
      <w:r w:rsidR="00734763" w:rsidRPr="00C72C28">
        <w:rPr>
          <w:sz w:val="22"/>
          <w:szCs w:val="22"/>
        </w:rPr>
        <w:t xml:space="preserve"> is a diagram from a General Electric </w:t>
      </w:r>
      <w:r w:rsidR="004D0E51" w:rsidRPr="00C72C28">
        <w:rPr>
          <w:sz w:val="22"/>
          <w:szCs w:val="22"/>
        </w:rPr>
        <w:t xml:space="preserve">presentation that described the evolution of their Model 7FA key </w:t>
      </w:r>
      <w:r w:rsidR="00C04F71" w:rsidRPr="00C72C28">
        <w:rPr>
          <w:sz w:val="22"/>
          <w:szCs w:val="22"/>
        </w:rPr>
        <w:t xml:space="preserve">CTG </w:t>
      </w:r>
      <w:r w:rsidR="004D0E51" w:rsidRPr="00C72C28">
        <w:rPr>
          <w:sz w:val="22"/>
          <w:szCs w:val="22"/>
        </w:rPr>
        <w:t xml:space="preserve">product </w:t>
      </w:r>
      <w:r w:rsidR="00C04F71" w:rsidRPr="00C72C28">
        <w:rPr>
          <w:sz w:val="22"/>
          <w:szCs w:val="22"/>
        </w:rPr>
        <w:t xml:space="preserve">since the early 7FA.03 version (such as installed at the Fort Myers Plant) and the recent innovations.  In addition to offering the newer 7FA.04 and 7FA.05 CTGs, GE offers upgrades to enhance the older </w:t>
      </w:r>
      <w:r w:rsidR="002F25D5">
        <w:rPr>
          <w:sz w:val="22"/>
          <w:szCs w:val="22"/>
        </w:rPr>
        <w:t xml:space="preserve">7FA.03 CTGs </w:t>
      </w:r>
      <w:r w:rsidR="00C04F71" w:rsidRPr="00C72C28">
        <w:rPr>
          <w:sz w:val="22"/>
          <w:szCs w:val="22"/>
        </w:rPr>
        <w:t xml:space="preserve">so that </w:t>
      </w:r>
      <w:r w:rsidR="002F25D5">
        <w:rPr>
          <w:sz w:val="22"/>
          <w:szCs w:val="22"/>
        </w:rPr>
        <w:t xml:space="preserve">they </w:t>
      </w:r>
      <w:r w:rsidR="00C04F71" w:rsidRPr="00C72C28">
        <w:rPr>
          <w:sz w:val="22"/>
          <w:szCs w:val="22"/>
        </w:rPr>
        <w:t xml:space="preserve">exhibit </w:t>
      </w:r>
      <w:r w:rsidR="006C6CEF" w:rsidRPr="00C72C28">
        <w:rPr>
          <w:sz w:val="22"/>
          <w:szCs w:val="22"/>
        </w:rPr>
        <w:t xml:space="preserve">some of </w:t>
      </w:r>
      <w:r w:rsidR="00C04F71" w:rsidRPr="00C72C28">
        <w:rPr>
          <w:sz w:val="22"/>
          <w:szCs w:val="22"/>
        </w:rPr>
        <w:t xml:space="preserve">the characteristics </w:t>
      </w:r>
      <w:r w:rsidR="00B7787C">
        <w:rPr>
          <w:sz w:val="22"/>
          <w:szCs w:val="22"/>
        </w:rPr>
        <w:t xml:space="preserve">of </w:t>
      </w:r>
      <w:r w:rsidR="00C04F71" w:rsidRPr="00C72C28">
        <w:rPr>
          <w:sz w:val="22"/>
          <w:szCs w:val="22"/>
        </w:rPr>
        <w:t xml:space="preserve">the </w:t>
      </w:r>
      <w:r w:rsidR="00B7787C">
        <w:rPr>
          <w:sz w:val="22"/>
          <w:szCs w:val="22"/>
        </w:rPr>
        <w:t xml:space="preserve">more </w:t>
      </w:r>
      <w:r w:rsidR="00C04F71" w:rsidRPr="00C72C28">
        <w:rPr>
          <w:sz w:val="22"/>
          <w:szCs w:val="22"/>
        </w:rPr>
        <w:t xml:space="preserve">recent models. </w:t>
      </w:r>
      <w:hyperlink r:id="rId19" w:history="1">
        <w:r w:rsidR="00C04F71" w:rsidRPr="00C72C28">
          <w:rPr>
            <w:rStyle w:val="Hyperlink"/>
            <w:sz w:val="22"/>
            <w:szCs w:val="22"/>
          </w:rPr>
          <w:t>Link to GE 7FA Evolution</w:t>
        </w:r>
      </w:hyperlink>
    </w:p>
    <w:p w:rsidR="00C04F71" w:rsidRDefault="00C04F71" w:rsidP="00C04F71">
      <w:pPr>
        <w:widowControl w:val="0"/>
        <w:spacing w:after="60"/>
        <w:rPr>
          <w:sz w:val="22"/>
          <w:szCs w:val="22"/>
        </w:rPr>
      </w:pPr>
      <w:r w:rsidRPr="00C04F71">
        <w:rPr>
          <w:noProof/>
          <w:sz w:val="22"/>
          <w:szCs w:val="22"/>
        </w:rPr>
        <w:drawing>
          <wp:inline distT="0" distB="0" distL="0" distR="0">
            <wp:extent cx="6400800" cy="2337451"/>
            <wp:effectExtent l="19050" t="19050" r="19050" b="24749"/>
            <wp:docPr id="2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cstate="print"/>
                    <a:srcRect/>
                    <a:stretch>
                      <a:fillRect/>
                    </a:stretch>
                  </pic:blipFill>
                  <pic:spPr bwMode="auto">
                    <a:xfrm>
                      <a:off x="0" y="0"/>
                      <a:ext cx="6400800" cy="2337451"/>
                    </a:xfrm>
                    <a:prstGeom prst="rect">
                      <a:avLst/>
                    </a:prstGeom>
                    <a:noFill/>
                    <a:ln w="19050">
                      <a:solidFill>
                        <a:schemeClr val="tx1"/>
                      </a:solidFill>
                      <a:miter lim="800000"/>
                      <a:headEnd/>
                      <a:tailEnd/>
                    </a:ln>
                  </pic:spPr>
                </pic:pic>
              </a:graphicData>
            </a:graphic>
          </wp:inline>
        </w:drawing>
      </w:r>
    </w:p>
    <w:p w:rsidR="00C04F71" w:rsidRDefault="008933E3" w:rsidP="003B61DD">
      <w:pPr>
        <w:pStyle w:val="Caption"/>
        <w:spacing w:before="0"/>
        <w:rPr>
          <w:caps w:val="0"/>
        </w:rPr>
      </w:pPr>
      <w:bookmarkStart w:id="9" w:name="_Ref404587918"/>
      <w:r w:rsidRPr="00CA3D0F">
        <w:rPr>
          <w:caps w:val="0"/>
          <w:szCs w:val="22"/>
        </w:rPr>
        <w:t xml:space="preserve">Figure </w:t>
      </w:r>
      <w:r w:rsidR="00515AEA" w:rsidRPr="00CA3D0F">
        <w:rPr>
          <w:szCs w:val="22"/>
        </w:rPr>
        <w:fldChar w:fldCharType="begin"/>
      </w:r>
      <w:r w:rsidRPr="00CA3D0F">
        <w:rPr>
          <w:szCs w:val="22"/>
        </w:rPr>
        <w:instrText xml:space="preserve"> SEQ Figure \* ARABIC </w:instrText>
      </w:r>
      <w:r w:rsidR="00515AEA" w:rsidRPr="00CA3D0F">
        <w:rPr>
          <w:szCs w:val="22"/>
        </w:rPr>
        <w:fldChar w:fldCharType="separate"/>
      </w:r>
      <w:r w:rsidR="00A834F3">
        <w:rPr>
          <w:noProof/>
          <w:szCs w:val="22"/>
        </w:rPr>
        <w:t>7</w:t>
      </w:r>
      <w:r w:rsidR="00515AEA" w:rsidRPr="00CA3D0F">
        <w:rPr>
          <w:noProof/>
          <w:szCs w:val="22"/>
        </w:rPr>
        <w:fldChar w:fldCharType="end"/>
      </w:r>
      <w:bookmarkEnd w:id="9"/>
      <w:r w:rsidRPr="00CA3D0F">
        <w:rPr>
          <w:caps w:val="0"/>
          <w:szCs w:val="22"/>
        </w:rPr>
        <w:t xml:space="preserve">. </w:t>
      </w:r>
      <w:r w:rsidRPr="00CA3D0F">
        <w:rPr>
          <w:iCs/>
          <w:caps w:val="0"/>
          <w:color w:val="231F20"/>
          <w:szCs w:val="22"/>
        </w:rPr>
        <w:t xml:space="preserve"> </w:t>
      </w:r>
      <w:r w:rsidR="00C04F71">
        <w:rPr>
          <w:caps w:val="0"/>
        </w:rPr>
        <w:t xml:space="preserve">Evolution of GE 7FA CTG by Improved Hot Gas Path </w:t>
      </w:r>
      <w:r w:rsidR="003B61DD">
        <w:rPr>
          <w:caps w:val="0"/>
        </w:rPr>
        <w:t xml:space="preserve">(HGP) </w:t>
      </w:r>
      <w:r w:rsidR="00C04F71">
        <w:rPr>
          <w:caps w:val="0"/>
        </w:rPr>
        <w:t>and Compressor Technology.</w:t>
      </w:r>
    </w:p>
    <w:p w:rsidR="008933E3" w:rsidRPr="00B7787C" w:rsidRDefault="00BA5A58" w:rsidP="008933E3">
      <w:pPr>
        <w:widowControl w:val="0"/>
        <w:spacing w:after="120"/>
        <w:rPr>
          <w:sz w:val="22"/>
          <w:szCs w:val="22"/>
        </w:rPr>
      </w:pPr>
      <w:r w:rsidRPr="00B7787C">
        <w:rPr>
          <w:sz w:val="22"/>
          <w:szCs w:val="22"/>
        </w:rPr>
        <w:fldChar w:fldCharType="begin"/>
      </w:r>
      <w:r w:rsidRPr="00B7787C">
        <w:rPr>
          <w:sz w:val="22"/>
          <w:szCs w:val="22"/>
        </w:rPr>
        <w:instrText xml:space="preserve"> REF _Ref407565225 \h  \* MERGEFORMAT </w:instrText>
      </w:r>
      <w:r w:rsidRPr="00B7787C">
        <w:rPr>
          <w:sz w:val="22"/>
          <w:szCs w:val="22"/>
        </w:rPr>
      </w:r>
      <w:r w:rsidRPr="00B7787C">
        <w:rPr>
          <w:sz w:val="22"/>
          <w:szCs w:val="22"/>
        </w:rPr>
        <w:fldChar w:fldCharType="separate"/>
      </w:r>
      <w:r w:rsidR="00A834F3" w:rsidRPr="00B7787C">
        <w:rPr>
          <w:b/>
          <w:sz w:val="22"/>
          <w:szCs w:val="22"/>
        </w:rPr>
        <w:t>Figure 8</w:t>
      </w:r>
      <w:r w:rsidRPr="00B7787C">
        <w:rPr>
          <w:sz w:val="22"/>
          <w:szCs w:val="22"/>
        </w:rPr>
        <w:fldChar w:fldCharType="end"/>
      </w:r>
      <w:r w:rsidR="0098252B" w:rsidRPr="00B7787C">
        <w:rPr>
          <w:sz w:val="22"/>
          <w:szCs w:val="22"/>
        </w:rPr>
        <w:t xml:space="preserve"> contains </w:t>
      </w:r>
      <w:r w:rsidR="008933E3" w:rsidRPr="00B7787C">
        <w:rPr>
          <w:sz w:val="22"/>
          <w:szCs w:val="22"/>
        </w:rPr>
        <w:t>are photos from a project of a</w:t>
      </w:r>
      <w:r w:rsidR="006C6CEF" w:rsidRPr="00B7787C">
        <w:rPr>
          <w:sz w:val="22"/>
          <w:szCs w:val="22"/>
        </w:rPr>
        <w:t>n existing</w:t>
      </w:r>
      <w:r w:rsidR="008933E3" w:rsidRPr="00B7787C">
        <w:rPr>
          <w:sz w:val="22"/>
          <w:szCs w:val="22"/>
        </w:rPr>
        <w:t xml:space="preserve"> </w:t>
      </w:r>
      <w:r w:rsidR="0098252B" w:rsidRPr="00B7787C">
        <w:rPr>
          <w:sz w:val="22"/>
          <w:szCs w:val="22"/>
        </w:rPr>
        <w:t xml:space="preserve">7FA.03 </w:t>
      </w:r>
      <w:r w:rsidR="008933E3" w:rsidRPr="00B7787C">
        <w:rPr>
          <w:sz w:val="22"/>
          <w:szCs w:val="22"/>
        </w:rPr>
        <w:t>CT</w:t>
      </w:r>
      <w:r w:rsidR="0098252B" w:rsidRPr="00B7787C">
        <w:rPr>
          <w:sz w:val="22"/>
          <w:szCs w:val="22"/>
        </w:rPr>
        <w:t>G</w:t>
      </w:r>
      <w:r w:rsidR="008933E3" w:rsidRPr="00B7787C">
        <w:rPr>
          <w:sz w:val="22"/>
          <w:szCs w:val="22"/>
        </w:rPr>
        <w:t xml:space="preserve"> </w:t>
      </w:r>
      <w:r w:rsidR="002F25D5" w:rsidRPr="00B7787C">
        <w:rPr>
          <w:sz w:val="22"/>
          <w:szCs w:val="22"/>
        </w:rPr>
        <w:t xml:space="preserve">(at another site) </w:t>
      </w:r>
      <w:r w:rsidR="008933E3" w:rsidRPr="00B7787C">
        <w:rPr>
          <w:sz w:val="22"/>
          <w:szCs w:val="22"/>
        </w:rPr>
        <w:t xml:space="preserve">undergoing </w:t>
      </w:r>
      <w:r w:rsidR="006C6CEF" w:rsidRPr="00B7787C">
        <w:rPr>
          <w:sz w:val="22"/>
          <w:szCs w:val="22"/>
        </w:rPr>
        <w:t xml:space="preserve">partial </w:t>
      </w:r>
      <w:r w:rsidR="0098252B" w:rsidRPr="00B7787C">
        <w:rPr>
          <w:sz w:val="22"/>
          <w:szCs w:val="22"/>
        </w:rPr>
        <w:t xml:space="preserve">upgrade to a 7FA.04.  </w:t>
      </w:r>
      <w:r w:rsidR="008933E3" w:rsidRPr="00B7787C">
        <w:rPr>
          <w:sz w:val="22"/>
          <w:szCs w:val="22"/>
        </w:rPr>
        <w:t xml:space="preserve">The left hand side of </w:t>
      </w:r>
      <w:r w:rsidR="00B7787C" w:rsidRPr="00B7787C">
        <w:rPr>
          <w:b/>
          <w:sz w:val="22"/>
          <w:szCs w:val="22"/>
        </w:rPr>
        <w:fldChar w:fldCharType="begin"/>
      </w:r>
      <w:r w:rsidR="00B7787C" w:rsidRPr="00B7787C">
        <w:rPr>
          <w:b/>
          <w:sz w:val="22"/>
          <w:szCs w:val="22"/>
        </w:rPr>
        <w:instrText xml:space="preserve"> REF _Ref407565225 \h  \* MERGEFORMAT </w:instrText>
      </w:r>
      <w:r w:rsidR="00B7787C" w:rsidRPr="00B7787C">
        <w:rPr>
          <w:b/>
          <w:sz w:val="22"/>
          <w:szCs w:val="22"/>
        </w:rPr>
      </w:r>
      <w:r w:rsidR="00B7787C" w:rsidRPr="00B7787C">
        <w:rPr>
          <w:b/>
          <w:sz w:val="22"/>
          <w:szCs w:val="22"/>
        </w:rPr>
        <w:fldChar w:fldCharType="separate"/>
      </w:r>
      <w:r w:rsidR="00B7787C" w:rsidRPr="00B7787C">
        <w:rPr>
          <w:b/>
          <w:sz w:val="22"/>
          <w:szCs w:val="22"/>
        </w:rPr>
        <w:t xml:space="preserve">Figure </w:t>
      </w:r>
      <w:r w:rsidR="00B7787C" w:rsidRPr="00B7787C">
        <w:rPr>
          <w:b/>
          <w:noProof/>
          <w:sz w:val="22"/>
          <w:szCs w:val="22"/>
        </w:rPr>
        <w:t>8</w:t>
      </w:r>
      <w:r w:rsidR="00B7787C" w:rsidRPr="00B7787C">
        <w:rPr>
          <w:b/>
          <w:sz w:val="22"/>
          <w:szCs w:val="22"/>
        </w:rPr>
        <w:fldChar w:fldCharType="end"/>
      </w:r>
      <w:r w:rsidR="008933E3" w:rsidRPr="00B7787C">
        <w:rPr>
          <w:sz w:val="22"/>
          <w:szCs w:val="22"/>
        </w:rPr>
        <w:t xml:space="preserve"> is a photo of the combustion section and the three-stage expansion section with the upper casings combustors removed.  </w:t>
      </w:r>
    </w:p>
    <w:p w:rsidR="008933E3" w:rsidRDefault="008933E3" w:rsidP="008933E3">
      <w:pPr>
        <w:pStyle w:val="Header"/>
        <w:tabs>
          <w:tab w:val="clear" w:pos="4320"/>
          <w:tab w:val="clear" w:pos="8640"/>
        </w:tabs>
        <w:spacing w:after="60"/>
        <w:rPr>
          <w:noProof/>
          <w:sz w:val="22"/>
          <w:szCs w:val="22"/>
        </w:rPr>
      </w:pPr>
      <w:r>
        <w:rPr>
          <w:noProof/>
          <w:sz w:val="22"/>
          <w:szCs w:val="22"/>
        </w:rPr>
        <w:drawing>
          <wp:inline distT="0" distB="0" distL="0" distR="0">
            <wp:extent cx="2900348" cy="1958454"/>
            <wp:effectExtent l="19050" t="19050" r="14302" b="22746"/>
            <wp:docPr id="67" name="Picture 20" descr="7FA 03 Turbine Parts IMG_0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7FA 03 Turbine Parts IMG_0899.JPG"/>
                    <pic:cNvPicPr>
                      <a:picLocks noChangeArrowheads="1"/>
                    </pic:cNvPicPr>
                  </pic:nvPicPr>
                  <pic:blipFill>
                    <a:blip r:embed="rId21" cstate="print"/>
                    <a:srcRect/>
                    <a:stretch>
                      <a:fillRect/>
                    </a:stretch>
                  </pic:blipFill>
                  <pic:spPr bwMode="auto">
                    <a:xfrm>
                      <a:off x="0" y="0"/>
                      <a:ext cx="2904179" cy="1961041"/>
                    </a:xfrm>
                    <a:prstGeom prst="rect">
                      <a:avLst/>
                    </a:prstGeom>
                    <a:noFill/>
                    <a:ln w="19050">
                      <a:solidFill>
                        <a:schemeClr val="tx1"/>
                      </a:solidFill>
                      <a:miter lim="800000"/>
                      <a:headEnd/>
                      <a:tailEnd/>
                    </a:ln>
                  </pic:spPr>
                </pic:pic>
              </a:graphicData>
            </a:graphic>
          </wp:inline>
        </w:drawing>
      </w:r>
      <w:r>
        <w:rPr>
          <w:noProof/>
          <w:sz w:val="22"/>
          <w:szCs w:val="22"/>
        </w:rPr>
        <w:t xml:space="preserve"> </w:t>
      </w:r>
      <w:r>
        <w:rPr>
          <w:noProof/>
          <w:sz w:val="22"/>
          <w:szCs w:val="22"/>
        </w:rPr>
        <w:drawing>
          <wp:inline distT="0" distB="0" distL="0" distR="0">
            <wp:extent cx="3358771" cy="1959740"/>
            <wp:effectExtent l="19050" t="19050" r="13079" b="21460"/>
            <wp:docPr id="68" name="Picture 18" descr="7FA 03 Turbine Parts IMG_0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7FA 03 Turbine Parts IMG_0903.JPG"/>
                    <pic:cNvPicPr>
                      <a:picLocks noChangeArrowheads="1"/>
                    </pic:cNvPicPr>
                  </pic:nvPicPr>
                  <pic:blipFill>
                    <a:blip r:embed="rId22" cstate="print"/>
                    <a:srcRect/>
                    <a:stretch>
                      <a:fillRect/>
                    </a:stretch>
                  </pic:blipFill>
                  <pic:spPr bwMode="auto">
                    <a:xfrm>
                      <a:off x="0" y="0"/>
                      <a:ext cx="3359350" cy="1960078"/>
                    </a:xfrm>
                    <a:prstGeom prst="rect">
                      <a:avLst/>
                    </a:prstGeom>
                    <a:noFill/>
                    <a:ln w="19050">
                      <a:solidFill>
                        <a:schemeClr val="tx1"/>
                      </a:solidFill>
                      <a:miter lim="800000"/>
                      <a:headEnd/>
                      <a:tailEnd/>
                    </a:ln>
                  </pic:spPr>
                </pic:pic>
              </a:graphicData>
            </a:graphic>
          </wp:inline>
        </w:drawing>
      </w:r>
    </w:p>
    <w:p w:rsidR="008933E3" w:rsidRPr="008933E3" w:rsidRDefault="008933E3" w:rsidP="008933E3">
      <w:pPr>
        <w:pStyle w:val="Caption"/>
        <w:spacing w:before="0"/>
      </w:pPr>
      <w:bookmarkStart w:id="10" w:name="_Ref407565225"/>
      <w:r w:rsidRPr="008933E3">
        <w:rPr>
          <w:caps w:val="0"/>
        </w:rPr>
        <w:t xml:space="preserve">Figure </w:t>
      </w:r>
      <w:r w:rsidR="00634733">
        <w:fldChar w:fldCharType="begin"/>
      </w:r>
      <w:r w:rsidR="00634733">
        <w:instrText xml:space="preserve"> SEQ Figure \* ARABIC </w:instrText>
      </w:r>
      <w:r w:rsidR="00634733">
        <w:fldChar w:fldCharType="separate"/>
      </w:r>
      <w:r w:rsidR="00A834F3">
        <w:rPr>
          <w:noProof/>
        </w:rPr>
        <w:t>8</w:t>
      </w:r>
      <w:r w:rsidR="00634733">
        <w:rPr>
          <w:noProof/>
        </w:rPr>
        <w:fldChar w:fldCharType="end"/>
      </w:r>
      <w:bookmarkEnd w:id="10"/>
      <w:r w:rsidRPr="008933E3">
        <w:rPr>
          <w:caps w:val="0"/>
        </w:rPr>
        <w:t xml:space="preserve">.  </w:t>
      </w:r>
      <w:r>
        <w:rPr>
          <w:caps w:val="0"/>
          <w:szCs w:val="22"/>
        </w:rPr>
        <w:t>Internal Photo</w:t>
      </w:r>
      <w:r w:rsidR="0098252B">
        <w:rPr>
          <w:caps w:val="0"/>
          <w:szCs w:val="22"/>
        </w:rPr>
        <w:t>s</w:t>
      </w:r>
      <w:r>
        <w:rPr>
          <w:caps w:val="0"/>
          <w:szCs w:val="22"/>
        </w:rPr>
        <w:t xml:space="preserve"> o</w:t>
      </w:r>
      <w:r w:rsidRPr="008933E3">
        <w:rPr>
          <w:caps w:val="0"/>
          <w:szCs w:val="22"/>
        </w:rPr>
        <w:t>f G</w:t>
      </w:r>
      <w:r>
        <w:rPr>
          <w:caps w:val="0"/>
          <w:szCs w:val="22"/>
        </w:rPr>
        <w:t>E</w:t>
      </w:r>
      <w:r w:rsidRPr="008933E3">
        <w:rPr>
          <w:caps w:val="0"/>
          <w:szCs w:val="22"/>
        </w:rPr>
        <w:t xml:space="preserve"> 7</w:t>
      </w:r>
      <w:r>
        <w:rPr>
          <w:caps w:val="0"/>
          <w:szCs w:val="22"/>
        </w:rPr>
        <w:t>FA</w:t>
      </w:r>
      <w:r w:rsidRPr="008933E3">
        <w:rPr>
          <w:caps w:val="0"/>
          <w:szCs w:val="22"/>
        </w:rPr>
        <w:t xml:space="preserve"> </w:t>
      </w:r>
      <w:r w:rsidR="00696E41">
        <w:rPr>
          <w:caps w:val="0"/>
          <w:szCs w:val="22"/>
        </w:rPr>
        <w:t>with</w:t>
      </w:r>
      <w:r w:rsidRPr="008933E3">
        <w:rPr>
          <w:caps w:val="0"/>
          <w:szCs w:val="22"/>
        </w:rPr>
        <w:t xml:space="preserve"> Combustors Removed</w:t>
      </w:r>
      <w:r w:rsidR="0098252B">
        <w:rPr>
          <w:caps w:val="0"/>
          <w:szCs w:val="22"/>
        </w:rPr>
        <w:t xml:space="preserve"> and </w:t>
      </w:r>
      <w:r w:rsidRPr="008933E3">
        <w:rPr>
          <w:caps w:val="0"/>
          <w:szCs w:val="22"/>
        </w:rPr>
        <w:t xml:space="preserve">Details </w:t>
      </w:r>
      <w:r w:rsidR="0098252B">
        <w:rPr>
          <w:caps w:val="0"/>
          <w:szCs w:val="22"/>
        </w:rPr>
        <w:t>o</w:t>
      </w:r>
      <w:r w:rsidRPr="008933E3">
        <w:rPr>
          <w:caps w:val="0"/>
          <w:szCs w:val="22"/>
        </w:rPr>
        <w:t xml:space="preserve">f </w:t>
      </w:r>
      <w:r w:rsidR="00696E41">
        <w:rPr>
          <w:caps w:val="0"/>
          <w:szCs w:val="22"/>
        </w:rPr>
        <w:t>Expansion</w:t>
      </w:r>
      <w:r w:rsidRPr="008933E3">
        <w:rPr>
          <w:caps w:val="0"/>
          <w:szCs w:val="22"/>
        </w:rPr>
        <w:t xml:space="preserve"> Section</w:t>
      </w:r>
      <w:r>
        <w:rPr>
          <w:caps w:val="0"/>
          <w:szCs w:val="22"/>
        </w:rPr>
        <w:t>.</w:t>
      </w:r>
    </w:p>
    <w:p w:rsidR="008933E3" w:rsidRPr="00C72C28" w:rsidRDefault="008933E3" w:rsidP="0061056C">
      <w:pPr>
        <w:widowControl w:val="0"/>
        <w:spacing w:after="120"/>
        <w:rPr>
          <w:sz w:val="22"/>
          <w:szCs w:val="22"/>
        </w:rPr>
      </w:pPr>
      <w:r w:rsidRPr="00C72C28">
        <w:rPr>
          <w:sz w:val="22"/>
          <w:szCs w:val="22"/>
        </w:rPr>
        <w:t>The photo on the right hand side of the figure shows further details of the hot gas path.  The hot combustion gases pass from left to right through the 1</w:t>
      </w:r>
      <w:r w:rsidRPr="00C72C28">
        <w:rPr>
          <w:sz w:val="22"/>
          <w:szCs w:val="22"/>
          <w:vertAlign w:val="superscript"/>
        </w:rPr>
        <w:t>st</w:t>
      </w:r>
      <w:r w:rsidRPr="00C72C28">
        <w:rPr>
          <w:sz w:val="22"/>
          <w:szCs w:val="22"/>
        </w:rPr>
        <w:t xml:space="preserve"> stage nozzle and then the 1</w:t>
      </w:r>
      <w:r w:rsidRPr="00C72C28">
        <w:rPr>
          <w:sz w:val="22"/>
          <w:szCs w:val="22"/>
          <w:vertAlign w:val="superscript"/>
        </w:rPr>
        <w:t>st</w:t>
      </w:r>
      <w:r w:rsidRPr="00C72C28">
        <w:rPr>
          <w:sz w:val="22"/>
          <w:szCs w:val="22"/>
        </w:rPr>
        <w:t xml:space="preserve"> stage blades and buckets, 2</w:t>
      </w:r>
      <w:r w:rsidRPr="00C72C28">
        <w:rPr>
          <w:sz w:val="22"/>
          <w:szCs w:val="22"/>
          <w:vertAlign w:val="superscript"/>
        </w:rPr>
        <w:t>nd</w:t>
      </w:r>
      <w:r w:rsidRPr="00C72C28">
        <w:rPr>
          <w:sz w:val="22"/>
          <w:szCs w:val="22"/>
        </w:rPr>
        <w:t xml:space="preserve"> stage nozzle and blades and finally the 3</w:t>
      </w:r>
      <w:r w:rsidRPr="00C72C28">
        <w:rPr>
          <w:sz w:val="22"/>
          <w:szCs w:val="22"/>
          <w:vertAlign w:val="superscript"/>
        </w:rPr>
        <w:t>rd</w:t>
      </w:r>
      <w:r w:rsidRPr="00C72C28">
        <w:rPr>
          <w:sz w:val="22"/>
          <w:szCs w:val="22"/>
        </w:rPr>
        <w:t xml:space="preserve"> stage nozzle and blades.  The blades, seen as the three vertical rings in the picture, are attached to the rotor and spin as the gas expands, thus providing thrust to drive the compressor section and an attached direct-drive electrical generator.</w:t>
      </w:r>
    </w:p>
    <w:p w:rsidR="008933E3" w:rsidRPr="00C72C28" w:rsidRDefault="008933E3" w:rsidP="0061056C">
      <w:pPr>
        <w:widowControl w:val="0"/>
        <w:spacing w:after="120"/>
        <w:rPr>
          <w:sz w:val="22"/>
          <w:szCs w:val="22"/>
        </w:rPr>
      </w:pPr>
      <w:r w:rsidRPr="00C72C28">
        <w:rPr>
          <w:sz w:val="22"/>
          <w:szCs w:val="22"/>
        </w:rPr>
        <w:t xml:space="preserve">The nozzles, of which only one per stage is visible (others removed) are stationary and fixed to the casing.  The proposed project will change the materials, internal cooling passages, and sealing of some of these components. </w:t>
      </w:r>
    </w:p>
    <w:p w:rsidR="008933E3" w:rsidRPr="00C72C28" w:rsidRDefault="008933E3" w:rsidP="0061056C">
      <w:pPr>
        <w:widowControl w:val="0"/>
        <w:spacing w:after="120"/>
        <w:rPr>
          <w:sz w:val="22"/>
          <w:szCs w:val="22"/>
        </w:rPr>
      </w:pPr>
      <w:r w:rsidRPr="00C72C28">
        <w:rPr>
          <w:sz w:val="22"/>
          <w:szCs w:val="22"/>
        </w:rPr>
        <w:t xml:space="preserve">The photo on the left hand side of </w:t>
      </w:r>
      <w:r w:rsidR="00BA5A58">
        <w:fldChar w:fldCharType="begin"/>
      </w:r>
      <w:r w:rsidR="00BA5A58">
        <w:instrText xml:space="preserve"> REF _Ref407565795 \h  \* MERGEFORMAT </w:instrText>
      </w:r>
      <w:r w:rsidR="00BA5A58">
        <w:fldChar w:fldCharType="separate"/>
      </w:r>
      <w:r w:rsidR="00A834F3" w:rsidRPr="00A834F3">
        <w:rPr>
          <w:b/>
          <w:sz w:val="22"/>
          <w:szCs w:val="22"/>
        </w:rPr>
        <w:t>Figure 9</w:t>
      </w:r>
      <w:r w:rsidR="00BA5A58">
        <w:fldChar w:fldCharType="end"/>
      </w:r>
      <w:r w:rsidRPr="00C72C28">
        <w:rPr>
          <w:sz w:val="22"/>
          <w:szCs w:val="22"/>
        </w:rPr>
        <w:t xml:space="preserve"> shows </w:t>
      </w:r>
      <w:r w:rsidR="0061056C" w:rsidRPr="00C72C28">
        <w:rPr>
          <w:sz w:val="22"/>
          <w:szCs w:val="22"/>
        </w:rPr>
        <w:t>14 replacement combustor liners</w:t>
      </w:r>
      <w:r w:rsidRPr="00C72C28">
        <w:rPr>
          <w:sz w:val="22"/>
          <w:szCs w:val="22"/>
        </w:rPr>
        <w:t xml:space="preserve">, each of which is installed immediately downstream of the six fuel nozzles located within each combustor.  These channel the hot gas to the rotor section.  </w:t>
      </w:r>
    </w:p>
    <w:p w:rsidR="008933E3" w:rsidRDefault="008933E3" w:rsidP="0061056C">
      <w:pPr>
        <w:spacing w:after="60"/>
        <w:rPr>
          <w:sz w:val="22"/>
          <w:szCs w:val="22"/>
        </w:rPr>
      </w:pPr>
      <w:r>
        <w:rPr>
          <w:noProof/>
          <w:sz w:val="22"/>
          <w:szCs w:val="22"/>
        </w:rPr>
        <w:lastRenderedPageBreak/>
        <w:drawing>
          <wp:inline distT="0" distB="0" distL="0" distR="0">
            <wp:extent cx="3099463" cy="2320872"/>
            <wp:effectExtent l="19050" t="19050" r="24737" b="22278"/>
            <wp:docPr id="69" name="Picture 24" descr="7FA 03 Comb Liner IMG_0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7FA 03 Comb Liner IMG_0347.JPG"/>
                    <pic:cNvPicPr>
                      <a:picLocks noChangeAspect="1" noChangeArrowheads="1"/>
                    </pic:cNvPicPr>
                  </pic:nvPicPr>
                  <pic:blipFill>
                    <a:blip r:embed="rId23" cstate="print"/>
                    <a:srcRect/>
                    <a:stretch>
                      <a:fillRect/>
                    </a:stretch>
                  </pic:blipFill>
                  <pic:spPr bwMode="auto">
                    <a:xfrm>
                      <a:off x="0" y="0"/>
                      <a:ext cx="3100329" cy="2321521"/>
                    </a:xfrm>
                    <a:prstGeom prst="rect">
                      <a:avLst/>
                    </a:prstGeom>
                    <a:noFill/>
                    <a:ln w="19050">
                      <a:solidFill>
                        <a:schemeClr val="tx1"/>
                      </a:solidFill>
                      <a:miter lim="800000"/>
                      <a:headEnd/>
                      <a:tailEnd/>
                    </a:ln>
                  </pic:spPr>
                </pic:pic>
              </a:graphicData>
            </a:graphic>
          </wp:inline>
        </w:drawing>
      </w:r>
      <w:r w:rsidR="0061056C">
        <w:rPr>
          <w:noProof/>
          <w:sz w:val="22"/>
          <w:szCs w:val="22"/>
        </w:rPr>
        <w:t xml:space="preserve"> </w:t>
      </w:r>
      <w:r>
        <w:rPr>
          <w:noProof/>
          <w:sz w:val="22"/>
          <w:szCs w:val="22"/>
        </w:rPr>
        <w:drawing>
          <wp:inline distT="0" distB="0" distL="0" distR="0">
            <wp:extent cx="3085815" cy="2318069"/>
            <wp:effectExtent l="19050" t="19050" r="19335" b="25081"/>
            <wp:docPr id="26" name="Picture 22" descr="7FA 03 Comb Flow_Sleeve IMG_0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7FA 03 Comb Flow_Sleeve IMG_0375.JPG"/>
                    <pic:cNvPicPr>
                      <a:picLocks noChangeAspect="1" noChangeArrowheads="1"/>
                    </pic:cNvPicPr>
                  </pic:nvPicPr>
                  <pic:blipFill>
                    <a:blip r:embed="rId24" cstate="print"/>
                    <a:srcRect/>
                    <a:stretch>
                      <a:fillRect/>
                    </a:stretch>
                  </pic:blipFill>
                  <pic:spPr bwMode="auto">
                    <a:xfrm>
                      <a:off x="0" y="0"/>
                      <a:ext cx="3086619" cy="2318673"/>
                    </a:xfrm>
                    <a:prstGeom prst="rect">
                      <a:avLst/>
                    </a:prstGeom>
                    <a:noFill/>
                    <a:ln w="19050">
                      <a:solidFill>
                        <a:schemeClr val="tx1"/>
                      </a:solidFill>
                      <a:miter lim="800000"/>
                      <a:headEnd/>
                      <a:tailEnd/>
                    </a:ln>
                  </pic:spPr>
                </pic:pic>
              </a:graphicData>
            </a:graphic>
          </wp:inline>
        </w:drawing>
      </w:r>
    </w:p>
    <w:p w:rsidR="008933E3" w:rsidRPr="0098252B" w:rsidRDefault="0061056C" w:rsidP="0061056C">
      <w:pPr>
        <w:pStyle w:val="Caption"/>
        <w:spacing w:before="0"/>
        <w:rPr>
          <w:szCs w:val="22"/>
        </w:rPr>
      </w:pPr>
      <w:bookmarkStart w:id="11" w:name="_Ref407565795"/>
      <w:r w:rsidRPr="0098252B">
        <w:rPr>
          <w:caps w:val="0"/>
        </w:rPr>
        <w:t>Figure</w:t>
      </w:r>
      <w:r w:rsidR="0098252B" w:rsidRPr="0098252B">
        <w:t xml:space="preserve"> </w:t>
      </w:r>
      <w:r w:rsidR="00634733">
        <w:fldChar w:fldCharType="begin"/>
      </w:r>
      <w:r w:rsidR="00634733">
        <w:instrText xml:space="preserve"> SEQ Figure \* ARABIC </w:instrText>
      </w:r>
      <w:r w:rsidR="00634733">
        <w:fldChar w:fldCharType="separate"/>
      </w:r>
      <w:r w:rsidR="00A834F3">
        <w:rPr>
          <w:noProof/>
        </w:rPr>
        <w:t>9</w:t>
      </w:r>
      <w:r w:rsidR="00634733">
        <w:rPr>
          <w:noProof/>
        </w:rPr>
        <w:fldChar w:fldCharType="end"/>
      </w:r>
      <w:bookmarkEnd w:id="11"/>
      <w:r w:rsidR="008933E3" w:rsidRPr="0098252B">
        <w:rPr>
          <w:szCs w:val="22"/>
        </w:rPr>
        <w:t xml:space="preserve">.  </w:t>
      </w:r>
      <w:r w:rsidR="0098252B">
        <w:rPr>
          <w:caps w:val="0"/>
          <w:szCs w:val="22"/>
        </w:rPr>
        <w:t>Replacement Combustor Liners a</w:t>
      </w:r>
      <w:r w:rsidR="0098252B" w:rsidRPr="0098252B">
        <w:rPr>
          <w:caps w:val="0"/>
          <w:szCs w:val="22"/>
        </w:rPr>
        <w:t>nd Flow Sleeves (14 Sets/C</w:t>
      </w:r>
      <w:r>
        <w:rPr>
          <w:caps w:val="0"/>
          <w:szCs w:val="22"/>
        </w:rPr>
        <w:t>TG</w:t>
      </w:r>
      <w:r w:rsidR="0098252B" w:rsidRPr="0098252B">
        <w:rPr>
          <w:caps w:val="0"/>
          <w:szCs w:val="22"/>
        </w:rPr>
        <w:t xml:space="preserve">) </w:t>
      </w:r>
      <w:r>
        <w:rPr>
          <w:caps w:val="0"/>
          <w:szCs w:val="22"/>
        </w:rPr>
        <w:t>f</w:t>
      </w:r>
      <w:r w:rsidR="0098252B" w:rsidRPr="0098252B">
        <w:rPr>
          <w:caps w:val="0"/>
          <w:szCs w:val="22"/>
        </w:rPr>
        <w:t xml:space="preserve">or </w:t>
      </w:r>
      <w:r>
        <w:rPr>
          <w:caps w:val="0"/>
          <w:szCs w:val="22"/>
        </w:rPr>
        <w:t>a 7FA.04 Upgrade</w:t>
      </w:r>
      <w:r w:rsidR="0098252B" w:rsidRPr="0098252B">
        <w:rPr>
          <w:szCs w:val="22"/>
        </w:rPr>
        <w:t>.</w:t>
      </w:r>
    </w:p>
    <w:p w:rsidR="00C04F71" w:rsidRPr="00C72C28" w:rsidRDefault="0061056C" w:rsidP="00734763">
      <w:pPr>
        <w:widowControl w:val="0"/>
        <w:spacing w:after="120"/>
        <w:rPr>
          <w:sz w:val="22"/>
          <w:szCs w:val="22"/>
        </w:rPr>
      </w:pPr>
      <w:r w:rsidRPr="00C72C28">
        <w:rPr>
          <w:sz w:val="22"/>
          <w:szCs w:val="22"/>
        </w:rPr>
        <w:t xml:space="preserve">The photo on the right hand side of </w:t>
      </w:r>
      <w:r w:rsidR="00BA5A58">
        <w:fldChar w:fldCharType="begin"/>
      </w:r>
      <w:r w:rsidR="00BA5A58">
        <w:instrText xml:space="preserve"> REF _Ref407565795 \h  \* MERGEFORMAT </w:instrText>
      </w:r>
      <w:r w:rsidR="00BA5A58">
        <w:fldChar w:fldCharType="separate"/>
      </w:r>
      <w:r w:rsidR="00A834F3" w:rsidRPr="00A834F3">
        <w:rPr>
          <w:b/>
          <w:sz w:val="22"/>
          <w:szCs w:val="22"/>
        </w:rPr>
        <w:t>Figure 9</w:t>
      </w:r>
      <w:r w:rsidR="00BA5A58">
        <w:fldChar w:fldCharType="end"/>
      </w:r>
      <w:r w:rsidRPr="00C72C28">
        <w:rPr>
          <w:sz w:val="22"/>
          <w:szCs w:val="22"/>
        </w:rPr>
        <w:t xml:space="preserve"> shows 14 flow sleeves (one per liner).  These direct compressor discharge air around the liners to keep them cool.  The liner and flow sleeve combination will be modified to reduce resistance to air flow and improve efficiency.</w:t>
      </w:r>
    </w:p>
    <w:p w:rsidR="00426997" w:rsidRPr="00C72C28" w:rsidRDefault="00426997" w:rsidP="006C6CEF">
      <w:pPr>
        <w:widowControl w:val="0"/>
        <w:spacing w:after="120"/>
        <w:rPr>
          <w:sz w:val="22"/>
          <w:szCs w:val="22"/>
        </w:rPr>
      </w:pPr>
      <w:r w:rsidRPr="00C72C28">
        <w:rPr>
          <w:sz w:val="22"/>
          <w:szCs w:val="22"/>
        </w:rPr>
        <w:t xml:space="preserve">The project for the partial 7FA.04 </w:t>
      </w:r>
      <w:r w:rsidR="00696E41">
        <w:rPr>
          <w:sz w:val="22"/>
          <w:szCs w:val="22"/>
        </w:rPr>
        <w:t xml:space="preserve">Unit 2 </w:t>
      </w:r>
      <w:r w:rsidRPr="00C72C28">
        <w:rPr>
          <w:sz w:val="22"/>
          <w:szCs w:val="22"/>
        </w:rPr>
        <w:t xml:space="preserve">upgrade project was already approved by the Department through permit 0710002-020-AC, issued March 13, 2014.  The permit expires on December 31, 2016.  </w:t>
      </w:r>
      <w:hyperlink r:id="rId25" w:history="1">
        <w:r w:rsidRPr="00C72C28">
          <w:rPr>
            <w:rStyle w:val="Hyperlink"/>
            <w:sz w:val="22"/>
            <w:szCs w:val="22"/>
          </w:rPr>
          <w:t>Link to 7FA.04 Permit</w:t>
        </w:r>
      </w:hyperlink>
      <w:r w:rsidRPr="00C72C28">
        <w:rPr>
          <w:sz w:val="22"/>
          <w:szCs w:val="22"/>
        </w:rPr>
        <w:t xml:space="preserve"> </w:t>
      </w:r>
    </w:p>
    <w:p w:rsidR="00C72C28" w:rsidRPr="00C72C28" w:rsidRDefault="00171D9E" w:rsidP="00C72C28">
      <w:pPr>
        <w:autoSpaceDE w:val="0"/>
        <w:autoSpaceDN w:val="0"/>
        <w:adjustRightInd w:val="0"/>
        <w:spacing w:after="120"/>
        <w:rPr>
          <w:sz w:val="22"/>
          <w:szCs w:val="22"/>
        </w:rPr>
      </w:pPr>
      <w:r>
        <w:rPr>
          <w:sz w:val="22"/>
          <w:szCs w:val="22"/>
        </w:rPr>
        <w:t>Refer to</w:t>
      </w:r>
      <w:r w:rsidR="00A834F3">
        <w:rPr>
          <w:sz w:val="22"/>
          <w:szCs w:val="22"/>
        </w:rPr>
        <w:t xml:space="preserve"> </w:t>
      </w:r>
      <w:r w:rsidR="00A834F3" w:rsidRPr="00A834F3">
        <w:rPr>
          <w:b/>
          <w:sz w:val="22"/>
          <w:szCs w:val="22"/>
        </w:rPr>
        <w:fldChar w:fldCharType="begin"/>
      </w:r>
      <w:r w:rsidR="00A834F3" w:rsidRPr="00A834F3">
        <w:rPr>
          <w:b/>
          <w:sz w:val="22"/>
          <w:szCs w:val="22"/>
        </w:rPr>
        <w:instrText xml:space="preserve"> REF _Ref408405613 \h  \* MERGEFORMAT </w:instrText>
      </w:r>
      <w:r w:rsidR="00A834F3" w:rsidRPr="00A834F3">
        <w:rPr>
          <w:b/>
          <w:sz w:val="22"/>
          <w:szCs w:val="22"/>
        </w:rPr>
      </w:r>
      <w:r w:rsidR="00A834F3" w:rsidRPr="00A834F3">
        <w:rPr>
          <w:b/>
          <w:sz w:val="22"/>
          <w:szCs w:val="22"/>
        </w:rPr>
        <w:fldChar w:fldCharType="separate"/>
      </w:r>
      <w:r w:rsidR="00A834F3" w:rsidRPr="00A834F3">
        <w:rPr>
          <w:b/>
          <w:sz w:val="22"/>
          <w:szCs w:val="22"/>
        </w:rPr>
        <w:t xml:space="preserve">Figure </w:t>
      </w:r>
      <w:r w:rsidR="00A834F3" w:rsidRPr="00A834F3">
        <w:rPr>
          <w:b/>
          <w:noProof/>
          <w:sz w:val="22"/>
          <w:szCs w:val="22"/>
        </w:rPr>
        <w:t>10</w:t>
      </w:r>
      <w:r w:rsidR="00A834F3" w:rsidRPr="00A834F3">
        <w:rPr>
          <w:b/>
          <w:sz w:val="22"/>
          <w:szCs w:val="22"/>
        </w:rPr>
        <w:fldChar w:fldCharType="end"/>
      </w:r>
      <w:r w:rsidR="00A834F3">
        <w:rPr>
          <w:sz w:val="22"/>
          <w:szCs w:val="22"/>
        </w:rPr>
        <w:t xml:space="preserve">. </w:t>
      </w:r>
      <w:r>
        <w:rPr>
          <w:sz w:val="22"/>
          <w:szCs w:val="22"/>
        </w:rPr>
        <w:t xml:space="preserve"> </w:t>
      </w:r>
      <w:r w:rsidR="001E58A2" w:rsidRPr="00C72C28">
        <w:rPr>
          <w:sz w:val="22"/>
          <w:szCs w:val="22"/>
        </w:rPr>
        <w:t xml:space="preserve">FPL proposes to add a partial 7FA.05 upgrade to the project.  The </w:t>
      </w:r>
      <w:r w:rsidR="00C72C28" w:rsidRPr="00C72C28">
        <w:rPr>
          <w:sz w:val="22"/>
          <w:szCs w:val="22"/>
        </w:rPr>
        <w:t xml:space="preserve">key </w:t>
      </w:r>
      <w:r w:rsidR="00696E41">
        <w:rPr>
          <w:sz w:val="22"/>
          <w:szCs w:val="22"/>
        </w:rPr>
        <w:t xml:space="preserve">improvement </w:t>
      </w:r>
      <w:r w:rsidR="001E58A2" w:rsidRPr="00C72C28">
        <w:rPr>
          <w:sz w:val="22"/>
          <w:szCs w:val="22"/>
        </w:rPr>
        <w:t>is a compressor enhancement package</w:t>
      </w:r>
      <w:r w:rsidR="005D3BEF" w:rsidRPr="00C72C28">
        <w:rPr>
          <w:sz w:val="22"/>
          <w:szCs w:val="22"/>
        </w:rPr>
        <w:t xml:space="preserve">.  </w:t>
      </w:r>
      <w:r w:rsidR="00C72C28" w:rsidRPr="00C72C28">
        <w:rPr>
          <w:sz w:val="22"/>
          <w:szCs w:val="22"/>
        </w:rPr>
        <w:t>The air foil</w:t>
      </w:r>
      <w:r w:rsidR="00B7787C">
        <w:rPr>
          <w:sz w:val="22"/>
          <w:szCs w:val="22"/>
        </w:rPr>
        <w:t>-</w:t>
      </w:r>
      <w:r w:rsidR="00C72C28" w:rsidRPr="00C72C28">
        <w:rPr>
          <w:sz w:val="22"/>
          <w:szCs w:val="22"/>
        </w:rPr>
        <w:t xml:space="preserve">based compressor continuously pressurizes air that flows parallel to the axis of rotation.  </w:t>
      </w:r>
      <w:r w:rsidR="002B0097">
        <w:rPr>
          <w:sz w:val="22"/>
          <w:szCs w:val="22"/>
        </w:rPr>
        <w:t>T</w:t>
      </w:r>
      <w:r w:rsidR="005D3BEF" w:rsidRPr="00C72C28">
        <w:rPr>
          <w:sz w:val="22"/>
          <w:szCs w:val="22"/>
        </w:rPr>
        <w:t>he rotating airfoils (</w:t>
      </w:r>
      <w:r w:rsidR="001E58A2" w:rsidRPr="00C72C28">
        <w:rPr>
          <w:sz w:val="22"/>
          <w:szCs w:val="22"/>
        </w:rPr>
        <w:t>rotor</w:t>
      </w:r>
      <w:r w:rsidR="005D3BEF" w:rsidRPr="00C72C28">
        <w:rPr>
          <w:sz w:val="22"/>
          <w:szCs w:val="22"/>
        </w:rPr>
        <w:t xml:space="preserve"> blades) and stationary airfoils (stators) </w:t>
      </w:r>
      <w:r w:rsidR="00C72C28" w:rsidRPr="00C72C28">
        <w:rPr>
          <w:sz w:val="22"/>
          <w:szCs w:val="22"/>
        </w:rPr>
        <w:t>will</w:t>
      </w:r>
      <w:r w:rsidR="00804A4F" w:rsidRPr="00C72C28">
        <w:rPr>
          <w:sz w:val="22"/>
          <w:szCs w:val="22"/>
        </w:rPr>
        <w:t xml:space="preserve"> </w:t>
      </w:r>
      <w:r w:rsidR="005D3BEF" w:rsidRPr="00C72C28">
        <w:rPr>
          <w:sz w:val="22"/>
          <w:szCs w:val="22"/>
        </w:rPr>
        <w:t>be replaced with more modern 3-dimensional air foils with super finished coatings (such as graphite</w:t>
      </w:r>
      <w:r w:rsidR="00977029" w:rsidRPr="00C72C28">
        <w:rPr>
          <w:sz w:val="22"/>
          <w:szCs w:val="22"/>
        </w:rPr>
        <w:t>)</w:t>
      </w:r>
      <w:r w:rsidR="005D3BEF" w:rsidRPr="00C72C28">
        <w:rPr>
          <w:sz w:val="22"/>
          <w:szCs w:val="22"/>
        </w:rPr>
        <w:t>.</w:t>
      </w:r>
      <w:r w:rsidR="00977029" w:rsidRPr="00C72C28">
        <w:rPr>
          <w:sz w:val="22"/>
          <w:szCs w:val="22"/>
        </w:rPr>
        <w:t xml:space="preserve">  </w:t>
      </w:r>
      <w:r w:rsidR="002B0097">
        <w:rPr>
          <w:sz w:val="22"/>
          <w:szCs w:val="22"/>
        </w:rPr>
        <w:t>The compressor will be converted from an 18 stage compressor to a more efficient 14 stage compressor.</w:t>
      </w:r>
    </w:p>
    <w:p w:rsidR="002B0097" w:rsidRDefault="00634733" w:rsidP="00171D9E">
      <w:pPr>
        <w:autoSpaceDE w:val="0"/>
        <w:autoSpaceDN w:val="0"/>
        <w:adjustRightInd w:val="0"/>
        <w:spacing w:after="60"/>
        <w:rPr>
          <w:sz w:val="22"/>
          <w:szCs w:val="22"/>
        </w:rPr>
      </w:pPr>
      <w:r>
        <w:rPr>
          <w:noProof/>
          <w:sz w:val="22"/>
          <w:szCs w:val="22"/>
        </w:rPr>
        <w:pict>
          <v:shape id="_x0000_s1079" type="#_x0000_t202" style="position:absolute;margin-left:290.25pt;margin-top:18.85pt;width:108.45pt;height:16.4pt;z-index:251727872;visibility:visible;mso-height-percent:200;mso-wrap-distance-left:9pt;mso-wrap-distance-top:3.6pt;mso-wrap-distance-right:9pt;mso-wrap-distance-bottom:3.6pt;mso-position-horizontal-relative:text;mso-position-vertical-relative:text;mso-height-percent:200;mso-width-relative:margin;mso-height-relative:margin;v-text-anchor:top" filled="f" stroked="f">
            <v:textbox style="mso-next-textbox:#_x0000_s1079;mso-fit-shape-to-text:t">
              <w:txbxContent>
                <w:p w:rsidR="00A834F3" w:rsidRPr="00171D9E" w:rsidRDefault="00A834F3" w:rsidP="00171D9E">
                  <w:pPr>
                    <w:rPr>
                      <w:rFonts w:ascii="Arial" w:hAnsi="Arial" w:cs="Arial"/>
                      <w:b/>
                      <w:color w:val="0D0D0D" w:themeColor="text1" w:themeTint="F2"/>
                      <w:sz w:val="16"/>
                      <w:szCs w:val="16"/>
                    </w:rPr>
                  </w:pPr>
                  <w:r w:rsidRPr="00171D9E">
                    <w:rPr>
                      <w:rFonts w:ascii="Arial" w:hAnsi="Arial" w:cs="Arial"/>
                      <w:b/>
                      <w:color w:val="0D0D0D" w:themeColor="text1" w:themeTint="F2"/>
                      <w:sz w:val="16"/>
                      <w:szCs w:val="16"/>
                    </w:rPr>
                    <w:t>7FA.0</w:t>
                  </w:r>
                  <w:r>
                    <w:rPr>
                      <w:rFonts w:ascii="Arial" w:hAnsi="Arial" w:cs="Arial"/>
                      <w:b/>
                      <w:color w:val="0D0D0D" w:themeColor="text1" w:themeTint="F2"/>
                      <w:sz w:val="16"/>
                      <w:szCs w:val="16"/>
                    </w:rPr>
                    <w:t>4</w:t>
                  </w:r>
                  <w:r w:rsidRPr="00171D9E">
                    <w:rPr>
                      <w:rFonts w:ascii="Arial" w:hAnsi="Arial" w:cs="Arial"/>
                      <w:b/>
                      <w:color w:val="0D0D0D" w:themeColor="text1" w:themeTint="F2"/>
                      <w:sz w:val="16"/>
                      <w:szCs w:val="16"/>
                    </w:rPr>
                    <w:t xml:space="preserve"> </w:t>
                  </w:r>
                  <w:r>
                    <w:rPr>
                      <w:rFonts w:ascii="Arial" w:hAnsi="Arial" w:cs="Arial"/>
                      <w:b/>
                      <w:color w:val="0D0D0D" w:themeColor="text1" w:themeTint="F2"/>
                      <w:sz w:val="16"/>
                      <w:szCs w:val="16"/>
                    </w:rPr>
                    <w:t>HGP Project</w:t>
                  </w:r>
                </w:p>
              </w:txbxContent>
            </v:textbox>
          </v:shape>
        </w:pict>
      </w:r>
      <w:r>
        <w:rPr>
          <w:noProof/>
          <w:sz w:val="22"/>
          <w:szCs w:val="22"/>
        </w:rPr>
        <w:pict>
          <v:oval id="_x0000_s1078" style="position:absolute;margin-left:258.75pt;margin-top:1.6pt;width:159.75pt;height:211.5pt;z-index:251726848" filled="f" strokecolor="red" strokeweight="1.5pt"/>
        </w:pict>
      </w:r>
      <w:r>
        <w:rPr>
          <w:noProof/>
        </w:rPr>
        <w:pict>
          <v:shape id="Text Box 2" o:spid="_x0000_s1077" type="#_x0000_t202" style="position:absolute;margin-left:107.25pt;margin-top:28.6pt;width:125.7pt;height:16.4pt;z-index:251725824;visibility:visible;mso-height-percent:200;mso-wrap-distance-left:9pt;mso-wrap-distance-top:3.6pt;mso-wrap-distance-right:9pt;mso-wrap-distance-bottom:3.6pt;mso-position-horizontal-relative:text;mso-position-vertical-relative:text;mso-height-percent:200;mso-width-relative:margin;mso-height-relative:margin;v-text-anchor:top" filled="f" stroked="f">
            <v:textbox style="mso-next-textbox:#Text Box 2;mso-fit-shape-to-text:t">
              <w:txbxContent>
                <w:p w:rsidR="00A834F3" w:rsidRPr="00171D9E" w:rsidRDefault="00A834F3">
                  <w:pPr>
                    <w:rPr>
                      <w:rFonts w:ascii="Arial" w:hAnsi="Arial" w:cs="Arial"/>
                      <w:b/>
                      <w:color w:val="0D0D0D" w:themeColor="text1" w:themeTint="F2"/>
                      <w:sz w:val="16"/>
                      <w:szCs w:val="16"/>
                    </w:rPr>
                  </w:pPr>
                  <w:r w:rsidRPr="00171D9E">
                    <w:rPr>
                      <w:rFonts w:ascii="Arial" w:hAnsi="Arial" w:cs="Arial"/>
                      <w:b/>
                      <w:color w:val="0D0D0D" w:themeColor="text1" w:themeTint="F2"/>
                      <w:sz w:val="16"/>
                      <w:szCs w:val="16"/>
                    </w:rPr>
                    <w:t>7FA.05 Compressor Project</w:t>
                  </w:r>
                </w:p>
              </w:txbxContent>
            </v:textbox>
          </v:shape>
        </w:pict>
      </w:r>
      <w:r>
        <w:rPr>
          <w:noProof/>
          <w:sz w:val="22"/>
          <w:szCs w:val="22"/>
        </w:rPr>
        <w:pict>
          <v:oval id="_x0000_s1076" style="position:absolute;margin-left:89.25pt;margin-top:1.6pt;width:169.5pt;height:211.5pt;z-index:251723776" filled="f" strokecolor="red" strokeweight="1.5pt"/>
        </w:pict>
      </w:r>
      <w:r w:rsidR="002B0097" w:rsidRPr="002B0097">
        <w:rPr>
          <w:noProof/>
          <w:sz w:val="22"/>
          <w:szCs w:val="22"/>
          <w:bdr w:val="single" w:sz="12" w:space="0" w:color="auto"/>
        </w:rPr>
        <w:drawing>
          <wp:inline distT="0" distB="0" distL="0" distR="0" wp14:anchorId="68DE8519" wp14:editId="3BA50F89">
            <wp:extent cx="6400800" cy="2733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titled.png"/>
                    <pic:cNvPicPr/>
                  </pic:nvPicPr>
                  <pic:blipFill rotWithShape="1">
                    <a:blip r:embed="rId26">
                      <a:extLst>
                        <a:ext uri="{28A0092B-C50C-407E-A947-70E740481C1C}">
                          <a14:useLocalDpi xmlns:a14="http://schemas.microsoft.com/office/drawing/2010/main" val="0"/>
                        </a:ext>
                      </a:extLst>
                    </a:blip>
                    <a:srcRect t="3663" b="8730"/>
                    <a:stretch/>
                  </pic:blipFill>
                  <pic:spPr bwMode="auto">
                    <a:xfrm>
                      <a:off x="0" y="0"/>
                      <a:ext cx="6400800" cy="2733675"/>
                    </a:xfrm>
                    <a:prstGeom prst="rect">
                      <a:avLst/>
                    </a:prstGeom>
                    <a:ln>
                      <a:noFill/>
                    </a:ln>
                    <a:extLst>
                      <a:ext uri="{53640926-AAD7-44D8-BBD7-CCE9431645EC}">
                        <a14:shadowObscured xmlns:a14="http://schemas.microsoft.com/office/drawing/2010/main"/>
                      </a:ext>
                    </a:extLst>
                  </pic:spPr>
                </pic:pic>
              </a:graphicData>
            </a:graphic>
          </wp:inline>
        </w:drawing>
      </w:r>
    </w:p>
    <w:p w:rsidR="002B0097" w:rsidRDefault="00171D9E" w:rsidP="00171D9E">
      <w:pPr>
        <w:pStyle w:val="Caption"/>
        <w:spacing w:before="0"/>
        <w:rPr>
          <w:szCs w:val="22"/>
        </w:rPr>
      </w:pPr>
      <w:bookmarkStart w:id="12" w:name="_Ref408405613"/>
      <w:r>
        <w:rPr>
          <w:caps w:val="0"/>
        </w:rPr>
        <w:t xml:space="preserve">Figure </w:t>
      </w:r>
      <w:r w:rsidR="00634733">
        <w:fldChar w:fldCharType="begin"/>
      </w:r>
      <w:r w:rsidR="00634733">
        <w:instrText xml:space="preserve"> SEQ Figure \* ARABIC </w:instrText>
      </w:r>
      <w:r w:rsidR="00634733">
        <w:fldChar w:fldCharType="separate"/>
      </w:r>
      <w:r w:rsidR="00A834F3">
        <w:rPr>
          <w:noProof/>
        </w:rPr>
        <w:t>10</w:t>
      </w:r>
      <w:r w:rsidR="00634733">
        <w:rPr>
          <w:noProof/>
        </w:rPr>
        <w:fldChar w:fldCharType="end"/>
      </w:r>
      <w:bookmarkEnd w:id="12"/>
      <w:r>
        <w:t xml:space="preserve">.  </w:t>
      </w:r>
      <w:r w:rsidR="00A834F3">
        <w:rPr>
          <w:caps w:val="0"/>
        </w:rPr>
        <w:t>GE 7FA Turbine Outside of Casing and Areas Affected by 7FA.04 and 7FA.05 Projects.</w:t>
      </w:r>
    </w:p>
    <w:p w:rsidR="00171D9E" w:rsidRDefault="00171D9E" w:rsidP="00171D9E">
      <w:pPr>
        <w:autoSpaceDE w:val="0"/>
        <w:autoSpaceDN w:val="0"/>
        <w:adjustRightInd w:val="0"/>
        <w:spacing w:after="120"/>
        <w:rPr>
          <w:sz w:val="22"/>
          <w:szCs w:val="22"/>
        </w:rPr>
      </w:pPr>
      <w:r w:rsidRPr="00C72C28">
        <w:rPr>
          <w:sz w:val="22"/>
          <w:szCs w:val="22"/>
        </w:rPr>
        <w:t xml:space="preserve">The new </w:t>
      </w:r>
      <w:r>
        <w:rPr>
          <w:sz w:val="22"/>
          <w:szCs w:val="22"/>
        </w:rPr>
        <w:t xml:space="preserve">compressor components </w:t>
      </w:r>
      <w:r w:rsidRPr="00C72C28">
        <w:rPr>
          <w:sz w:val="22"/>
          <w:szCs w:val="22"/>
        </w:rPr>
        <w:t>will have improved damage tolerance</w:t>
      </w:r>
      <w:r w:rsidR="0079077B">
        <w:rPr>
          <w:sz w:val="22"/>
          <w:szCs w:val="22"/>
        </w:rPr>
        <w:t xml:space="preserve"> and </w:t>
      </w:r>
      <w:r w:rsidRPr="00C72C28">
        <w:rPr>
          <w:sz w:val="22"/>
          <w:szCs w:val="22"/>
        </w:rPr>
        <w:t xml:space="preserve">reduced blade </w:t>
      </w:r>
      <w:r w:rsidR="0079077B">
        <w:rPr>
          <w:sz w:val="22"/>
          <w:szCs w:val="22"/>
        </w:rPr>
        <w:t>and contact edge stresses</w:t>
      </w:r>
      <w:r w:rsidRPr="00C72C28">
        <w:rPr>
          <w:sz w:val="22"/>
          <w:szCs w:val="22"/>
        </w:rPr>
        <w:t xml:space="preserve">.  Ultimately the additional electric power generated </w:t>
      </w:r>
      <w:r>
        <w:rPr>
          <w:sz w:val="22"/>
          <w:szCs w:val="22"/>
        </w:rPr>
        <w:t xml:space="preserve">as a result of the two projects </w:t>
      </w:r>
      <w:r w:rsidRPr="00C72C28">
        <w:rPr>
          <w:sz w:val="22"/>
          <w:szCs w:val="22"/>
        </w:rPr>
        <w:t xml:space="preserve">is limited by the </w:t>
      </w:r>
      <w:r>
        <w:rPr>
          <w:sz w:val="22"/>
          <w:szCs w:val="22"/>
        </w:rPr>
        <w:t xml:space="preserve">electric generator ratings.  </w:t>
      </w:r>
      <w:r w:rsidRPr="00C72C28">
        <w:rPr>
          <w:sz w:val="22"/>
          <w:szCs w:val="22"/>
        </w:rPr>
        <w:t xml:space="preserve">However at high ambient temperatures, the </w:t>
      </w:r>
      <w:r>
        <w:rPr>
          <w:sz w:val="22"/>
          <w:szCs w:val="22"/>
        </w:rPr>
        <w:t xml:space="preserve">improvements </w:t>
      </w:r>
      <w:r w:rsidRPr="00C72C28">
        <w:rPr>
          <w:sz w:val="22"/>
          <w:szCs w:val="22"/>
        </w:rPr>
        <w:t>restore or increase power production at a given temperature.</w:t>
      </w:r>
      <w:r>
        <w:rPr>
          <w:sz w:val="22"/>
          <w:szCs w:val="22"/>
        </w:rPr>
        <w:t xml:space="preserve">  The result is an increase in summer capability at a minimum.  </w:t>
      </w:r>
    </w:p>
    <w:p w:rsidR="001C4E37" w:rsidRPr="00CC76F4" w:rsidRDefault="001C4E37" w:rsidP="00397A7D">
      <w:pPr>
        <w:pStyle w:val="ListParagraph"/>
        <w:numPr>
          <w:ilvl w:val="1"/>
          <w:numId w:val="1"/>
        </w:numPr>
        <w:tabs>
          <w:tab w:val="left" w:pos="450"/>
        </w:tabs>
        <w:spacing w:after="120"/>
        <w:ind w:left="450" w:hanging="450"/>
        <w:rPr>
          <w:b/>
          <w:bCs/>
          <w:sz w:val="22"/>
          <w:szCs w:val="22"/>
        </w:rPr>
      </w:pPr>
      <w:bookmarkStart w:id="13" w:name="bookmark0"/>
      <w:bookmarkEnd w:id="13"/>
      <w:r w:rsidRPr="00CC76F4">
        <w:rPr>
          <w:b/>
          <w:bCs/>
          <w:sz w:val="22"/>
          <w:szCs w:val="22"/>
        </w:rPr>
        <w:lastRenderedPageBreak/>
        <w:t>Processing Schedule</w:t>
      </w:r>
    </w:p>
    <w:p w:rsidR="008257EF" w:rsidRPr="00CC76F4" w:rsidRDefault="002F25D5" w:rsidP="00CC76F4">
      <w:pPr>
        <w:tabs>
          <w:tab w:val="left" w:pos="1260"/>
        </w:tabs>
        <w:spacing w:after="120"/>
        <w:ind w:left="1260" w:hanging="1260"/>
        <w:rPr>
          <w:sz w:val="22"/>
          <w:szCs w:val="22"/>
        </w:rPr>
      </w:pPr>
      <w:r>
        <w:rPr>
          <w:sz w:val="22"/>
          <w:szCs w:val="22"/>
        </w:rPr>
        <w:t>12</w:t>
      </w:r>
      <w:r w:rsidR="008257EF" w:rsidRPr="00CC76F4">
        <w:rPr>
          <w:sz w:val="22"/>
          <w:szCs w:val="22"/>
        </w:rPr>
        <w:t>/</w:t>
      </w:r>
      <w:r w:rsidR="008B5EE9">
        <w:rPr>
          <w:sz w:val="22"/>
          <w:szCs w:val="22"/>
        </w:rPr>
        <w:t>1</w:t>
      </w:r>
      <w:r>
        <w:rPr>
          <w:sz w:val="22"/>
          <w:szCs w:val="22"/>
        </w:rPr>
        <w:t>9</w:t>
      </w:r>
      <w:r w:rsidR="008257EF" w:rsidRPr="00CC76F4">
        <w:rPr>
          <w:sz w:val="22"/>
          <w:szCs w:val="22"/>
        </w:rPr>
        <w:t>/</w:t>
      </w:r>
      <w:r w:rsidR="006A3660" w:rsidRPr="00CC76F4">
        <w:rPr>
          <w:sz w:val="22"/>
          <w:szCs w:val="22"/>
        </w:rPr>
        <w:t>20</w:t>
      </w:r>
      <w:r w:rsidR="00E95FE8" w:rsidRPr="00CC76F4">
        <w:rPr>
          <w:sz w:val="22"/>
          <w:szCs w:val="22"/>
        </w:rPr>
        <w:t>1</w:t>
      </w:r>
      <w:r w:rsidR="00D04162">
        <w:rPr>
          <w:sz w:val="22"/>
          <w:szCs w:val="22"/>
        </w:rPr>
        <w:t>4</w:t>
      </w:r>
      <w:r w:rsidR="008257EF" w:rsidRPr="00CC76F4">
        <w:rPr>
          <w:sz w:val="22"/>
          <w:szCs w:val="22"/>
        </w:rPr>
        <w:t>:</w:t>
      </w:r>
      <w:r w:rsidR="008257EF" w:rsidRPr="00CC76F4">
        <w:rPr>
          <w:sz w:val="22"/>
          <w:szCs w:val="22"/>
        </w:rPr>
        <w:tab/>
        <w:t xml:space="preserve">Department received </w:t>
      </w:r>
      <w:r w:rsidR="006A3660" w:rsidRPr="00CC76F4">
        <w:rPr>
          <w:sz w:val="22"/>
          <w:szCs w:val="22"/>
        </w:rPr>
        <w:t xml:space="preserve">complete </w:t>
      </w:r>
      <w:r w:rsidR="008257EF" w:rsidRPr="00CC76F4">
        <w:rPr>
          <w:sz w:val="22"/>
          <w:szCs w:val="22"/>
        </w:rPr>
        <w:t xml:space="preserve">application </w:t>
      </w:r>
      <w:r w:rsidR="006A3660" w:rsidRPr="00CC76F4">
        <w:rPr>
          <w:sz w:val="22"/>
          <w:szCs w:val="22"/>
        </w:rPr>
        <w:t>for an air construction permit</w:t>
      </w:r>
      <w:r w:rsidR="008257EF" w:rsidRPr="00CC76F4">
        <w:rPr>
          <w:sz w:val="22"/>
          <w:szCs w:val="22"/>
        </w:rPr>
        <w:t>.</w:t>
      </w:r>
    </w:p>
    <w:p w:rsidR="008257EF" w:rsidRPr="00CC76F4" w:rsidRDefault="002F25D5" w:rsidP="00CC76F4">
      <w:pPr>
        <w:tabs>
          <w:tab w:val="left" w:pos="1260"/>
        </w:tabs>
        <w:spacing w:after="120"/>
        <w:rPr>
          <w:sz w:val="22"/>
          <w:szCs w:val="22"/>
        </w:rPr>
      </w:pPr>
      <w:r>
        <w:rPr>
          <w:sz w:val="22"/>
          <w:szCs w:val="22"/>
        </w:rPr>
        <w:t>0</w:t>
      </w:r>
      <w:r w:rsidR="00557081" w:rsidRPr="005200AF">
        <w:rPr>
          <w:sz w:val="22"/>
          <w:szCs w:val="22"/>
        </w:rPr>
        <w:t>1</w:t>
      </w:r>
      <w:r w:rsidR="008257EF" w:rsidRPr="005200AF">
        <w:rPr>
          <w:sz w:val="22"/>
          <w:szCs w:val="22"/>
        </w:rPr>
        <w:t>/</w:t>
      </w:r>
      <w:r w:rsidR="00B7787C">
        <w:rPr>
          <w:sz w:val="22"/>
          <w:szCs w:val="22"/>
        </w:rPr>
        <w:t>1</w:t>
      </w:r>
      <w:r w:rsidR="00634733">
        <w:rPr>
          <w:sz w:val="22"/>
          <w:szCs w:val="22"/>
        </w:rPr>
        <w:t>3</w:t>
      </w:r>
      <w:bookmarkStart w:id="14" w:name="_GoBack"/>
      <w:bookmarkEnd w:id="14"/>
      <w:r w:rsidR="008257EF" w:rsidRPr="005200AF">
        <w:rPr>
          <w:sz w:val="22"/>
          <w:szCs w:val="22"/>
        </w:rPr>
        <w:t>/</w:t>
      </w:r>
      <w:r w:rsidR="006A3660" w:rsidRPr="005200AF">
        <w:rPr>
          <w:sz w:val="22"/>
          <w:szCs w:val="22"/>
        </w:rPr>
        <w:t>20</w:t>
      </w:r>
      <w:r w:rsidR="00E95FE8" w:rsidRPr="005200AF">
        <w:rPr>
          <w:sz w:val="22"/>
          <w:szCs w:val="22"/>
        </w:rPr>
        <w:t>1</w:t>
      </w:r>
      <w:r w:rsidR="00DC0E63">
        <w:rPr>
          <w:sz w:val="22"/>
          <w:szCs w:val="22"/>
        </w:rPr>
        <w:t>5</w:t>
      </w:r>
      <w:r w:rsidR="008257EF" w:rsidRPr="005200AF">
        <w:rPr>
          <w:sz w:val="22"/>
          <w:szCs w:val="22"/>
        </w:rPr>
        <w:t>:</w:t>
      </w:r>
      <w:r w:rsidR="008257EF" w:rsidRPr="00CC76F4">
        <w:rPr>
          <w:sz w:val="22"/>
          <w:szCs w:val="22"/>
        </w:rPr>
        <w:tab/>
      </w:r>
      <w:r w:rsidR="00E95FE8" w:rsidRPr="00CC76F4">
        <w:rPr>
          <w:sz w:val="22"/>
          <w:szCs w:val="22"/>
        </w:rPr>
        <w:t>Distributed Intent to Issue Air Permit package.</w:t>
      </w:r>
    </w:p>
    <w:p w:rsidR="008B5EE9" w:rsidRPr="00746205" w:rsidRDefault="008B5EE9" w:rsidP="00397A7D">
      <w:pPr>
        <w:pStyle w:val="ListParagraph"/>
        <w:numPr>
          <w:ilvl w:val="0"/>
          <w:numId w:val="1"/>
        </w:numPr>
        <w:tabs>
          <w:tab w:val="left" w:pos="450"/>
        </w:tabs>
        <w:spacing w:after="120"/>
        <w:ind w:left="450" w:hanging="450"/>
        <w:contextualSpacing w:val="0"/>
        <w:rPr>
          <w:b/>
          <w:caps/>
          <w:sz w:val="22"/>
          <w:szCs w:val="22"/>
        </w:rPr>
      </w:pPr>
      <w:r>
        <w:rPr>
          <w:b/>
          <w:caps/>
          <w:sz w:val="22"/>
          <w:szCs w:val="22"/>
        </w:rPr>
        <w:t>PSD Applicability Review</w:t>
      </w:r>
    </w:p>
    <w:p w:rsidR="008B5EE9" w:rsidRPr="008B5EE9" w:rsidRDefault="008B5EE9" w:rsidP="00397A7D">
      <w:pPr>
        <w:pStyle w:val="ListParagraph"/>
        <w:numPr>
          <w:ilvl w:val="1"/>
          <w:numId w:val="1"/>
        </w:numPr>
        <w:tabs>
          <w:tab w:val="left" w:pos="450"/>
        </w:tabs>
        <w:spacing w:after="120"/>
        <w:ind w:left="450" w:hanging="450"/>
        <w:rPr>
          <w:b/>
          <w:sz w:val="22"/>
          <w:szCs w:val="22"/>
        </w:rPr>
      </w:pPr>
      <w:r w:rsidRPr="008B5EE9">
        <w:rPr>
          <w:b/>
          <w:sz w:val="22"/>
          <w:szCs w:val="22"/>
        </w:rPr>
        <w:t>General PSD Applicability</w:t>
      </w:r>
    </w:p>
    <w:p w:rsidR="008B5EE9" w:rsidRPr="005E756E" w:rsidRDefault="008B5EE9" w:rsidP="008B5EE9">
      <w:pPr>
        <w:widowControl w:val="0"/>
        <w:spacing w:after="120"/>
        <w:rPr>
          <w:rFonts w:eastAsia="Calibri"/>
          <w:sz w:val="22"/>
          <w:szCs w:val="22"/>
        </w:rPr>
      </w:pPr>
      <w:r w:rsidRPr="005E756E">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ambient air quality standards (AAQS) or areas designated as “unclassifiable” for these regulated pollutants.  </w:t>
      </w:r>
      <w:r w:rsidRPr="005E756E">
        <w:rPr>
          <w:sz w:val="22"/>
          <w:szCs w:val="22"/>
        </w:rPr>
        <w:t xml:space="preserve">The project is located in </w:t>
      </w:r>
      <w:r w:rsidR="00C40B67">
        <w:rPr>
          <w:sz w:val="22"/>
          <w:szCs w:val="22"/>
        </w:rPr>
        <w:t>Polk</w:t>
      </w:r>
      <w:r w:rsidRPr="005E756E">
        <w:rPr>
          <w:sz w:val="22"/>
          <w:szCs w:val="22"/>
        </w:rPr>
        <w:t xml:space="preserve">, which is in an area that is currently designated in attainment with each State </w:t>
      </w:r>
      <w:r>
        <w:rPr>
          <w:sz w:val="22"/>
          <w:szCs w:val="22"/>
        </w:rPr>
        <w:t>AAQS and NA</w:t>
      </w:r>
      <w:r w:rsidRPr="005E756E">
        <w:rPr>
          <w:sz w:val="22"/>
          <w:szCs w:val="22"/>
        </w:rPr>
        <w:t>AQS or not classified</w:t>
      </w:r>
      <w:r>
        <w:rPr>
          <w:sz w:val="22"/>
          <w:szCs w:val="22"/>
        </w:rPr>
        <w:t>.</w:t>
      </w:r>
    </w:p>
    <w:p w:rsidR="00A834F3" w:rsidRDefault="008B5EE9" w:rsidP="008B5EE9">
      <w:pPr>
        <w:widowControl w:val="0"/>
        <w:spacing w:after="120"/>
        <w:rPr>
          <w:rFonts w:eastAsia="Calibri"/>
          <w:sz w:val="22"/>
          <w:szCs w:val="22"/>
        </w:rPr>
      </w:pPr>
      <w:r>
        <w:rPr>
          <w:rFonts w:eastAsia="Calibri"/>
          <w:sz w:val="22"/>
          <w:szCs w:val="22"/>
        </w:rPr>
        <w:t>The key requirement</w:t>
      </w:r>
      <w:r w:rsidR="00C40B67">
        <w:rPr>
          <w:rFonts w:eastAsia="Calibri"/>
          <w:sz w:val="22"/>
          <w:szCs w:val="22"/>
        </w:rPr>
        <w:t>s</w:t>
      </w:r>
      <w:r>
        <w:rPr>
          <w:rFonts w:eastAsia="Calibri"/>
          <w:sz w:val="22"/>
          <w:szCs w:val="22"/>
        </w:rPr>
        <w:t xml:space="preserve"> of a PSD review include: employment of Best Available Control Technology (BACT); a demonstration that the project will not cause or contribute to a violation of a state of federal AAQS or increment; and a demonstration that the project will not cause adverse impacts to Air Quality Related Values (AQRVs) such as visibility, soils and vegetation.</w:t>
      </w:r>
    </w:p>
    <w:p w:rsidR="008B5EE9" w:rsidRDefault="008B5EE9" w:rsidP="008B5EE9">
      <w:pPr>
        <w:widowControl w:val="0"/>
        <w:spacing w:after="120"/>
        <w:rPr>
          <w:rFonts w:eastAsia="Calibri"/>
          <w:sz w:val="22"/>
          <w:szCs w:val="22"/>
        </w:rPr>
      </w:pPr>
      <w:r w:rsidRPr="007901D6">
        <w:rPr>
          <w:rFonts w:eastAsia="Calibri"/>
          <w:sz w:val="22"/>
          <w:szCs w:val="22"/>
        </w:rPr>
        <w:t xml:space="preserve">Commonly addressed PSD pollutants include: </w:t>
      </w:r>
      <w:r w:rsidR="00580514">
        <w:rPr>
          <w:rFonts w:eastAsia="Calibri"/>
          <w:sz w:val="22"/>
          <w:szCs w:val="22"/>
        </w:rPr>
        <w:t>carbon monoxide (</w:t>
      </w:r>
      <w:r w:rsidRPr="007901D6">
        <w:rPr>
          <w:rFonts w:eastAsia="Calibri"/>
          <w:sz w:val="22"/>
          <w:szCs w:val="22"/>
        </w:rPr>
        <w:t>CO</w:t>
      </w:r>
      <w:r w:rsidR="00580514">
        <w:rPr>
          <w:rFonts w:eastAsia="Calibri"/>
          <w:sz w:val="22"/>
          <w:szCs w:val="22"/>
        </w:rPr>
        <w:t>)</w:t>
      </w:r>
      <w:r w:rsidRPr="007901D6">
        <w:rPr>
          <w:rFonts w:eastAsia="Calibri"/>
          <w:sz w:val="22"/>
          <w:szCs w:val="22"/>
        </w:rPr>
        <w:t xml:space="preserve">, </w:t>
      </w:r>
      <w:r w:rsidR="00580514">
        <w:rPr>
          <w:rFonts w:eastAsia="Calibri"/>
          <w:sz w:val="22"/>
          <w:szCs w:val="22"/>
        </w:rPr>
        <w:t>nitrogen oxides (</w:t>
      </w:r>
      <w:r w:rsidRPr="007901D6">
        <w:rPr>
          <w:rFonts w:eastAsia="Calibri"/>
          <w:sz w:val="22"/>
          <w:szCs w:val="22"/>
        </w:rPr>
        <w:t>NO</w:t>
      </w:r>
      <w:r w:rsidRPr="007901D6">
        <w:rPr>
          <w:rFonts w:eastAsia="Calibri"/>
          <w:sz w:val="22"/>
          <w:szCs w:val="22"/>
          <w:vertAlign w:val="subscript"/>
        </w:rPr>
        <w:t>X</w:t>
      </w:r>
      <w:r w:rsidR="00580514">
        <w:rPr>
          <w:rFonts w:eastAsia="Calibri"/>
          <w:sz w:val="22"/>
          <w:szCs w:val="22"/>
        </w:rPr>
        <w:t>)</w:t>
      </w:r>
      <w:r w:rsidRPr="007901D6">
        <w:rPr>
          <w:rFonts w:eastAsia="Calibri"/>
          <w:sz w:val="22"/>
          <w:szCs w:val="22"/>
        </w:rPr>
        <w:t xml:space="preserve"> PM, </w:t>
      </w:r>
      <w:r w:rsidR="00580514">
        <w:rPr>
          <w:color w:val="000000"/>
          <w:sz w:val="22"/>
          <w:szCs w:val="22"/>
        </w:rPr>
        <w:t>PM with a mean diameter of 10 microns or less (PM</w:t>
      </w:r>
      <w:r w:rsidR="00580514">
        <w:rPr>
          <w:color w:val="000000"/>
          <w:sz w:val="22"/>
          <w:szCs w:val="22"/>
          <w:vertAlign w:val="subscript"/>
        </w:rPr>
        <w:t>10</w:t>
      </w:r>
      <w:r w:rsidR="00580514">
        <w:rPr>
          <w:color w:val="000000"/>
          <w:sz w:val="22"/>
          <w:szCs w:val="22"/>
        </w:rPr>
        <w:t>), PM with a mean diameter of 2.5 microns or less (PM</w:t>
      </w:r>
      <w:r w:rsidR="00580514">
        <w:rPr>
          <w:color w:val="000000"/>
          <w:sz w:val="22"/>
          <w:szCs w:val="22"/>
          <w:vertAlign w:val="subscript"/>
        </w:rPr>
        <w:t>2.5</w:t>
      </w:r>
      <w:r w:rsidR="00580514">
        <w:rPr>
          <w:color w:val="000000"/>
          <w:sz w:val="22"/>
          <w:szCs w:val="22"/>
        </w:rPr>
        <w:t>)</w:t>
      </w:r>
      <w:r w:rsidRPr="007901D6">
        <w:rPr>
          <w:rFonts w:eastAsia="Calibri"/>
          <w:sz w:val="22"/>
          <w:szCs w:val="22"/>
        </w:rPr>
        <w:t xml:space="preserve">, </w:t>
      </w:r>
      <w:r w:rsidR="00580514">
        <w:rPr>
          <w:color w:val="000000"/>
          <w:sz w:val="22"/>
          <w:szCs w:val="22"/>
        </w:rPr>
        <w:t>sulfuric acid mist (SAM), sulfur dioxide (SO</w:t>
      </w:r>
      <w:r w:rsidR="00580514">
        <w:rPr>
          <w:color w:val="000000"/>
          <w:sz w:val="22"/>
          <w:szCs w:val="22"/>
          <w:vertAlign w:val="subscript"/>
        </w:rPr>
        <w:t>2</w:t>
      </w:r>
      <w:r w:rsidR="00580514">
        <w:rPr>
          <w:color w:val="000000"/>
          <w:sz w:val="22"/>
          <w:szCs w:val="22"/>
        </w:rPr>
        <w:t>), volatile organic compounds (</w:t>
      </w:r>
      <w:r w:rsidRPr="007901D6">
        <w:rPr>
          <w:rFonts w:eastAsia="Calibri"/>
          <w:sz w:val="22"/>
          <w:szCs w:val="22"/>
        </w:rPr>
        <w:t>VOC</w:t>
      </w:r>
      <w:r w:rsidR="00580514">
        <w:rPr>
          <w:rFonts w:eastAsia="Calibri"/>
          <w:sz w:val="22"/>
          <w:szCs w:val="22"/>
        </w:rPr>
        <w:t>)</w:t>
      </w:r>
      <w:r w:rsidRPr="007901D6">
        <w:rPr>
          <w:rFonts w:eastAsia="Calibri"/>
          <w:sz w:val="22"/>
          <w:szCs w:val="22"/>
        </w:rPr>
        <w:t xml:space="preserve">, </w:t>
      </w:r>
      <w:r>
        <w:rPr>
          <w:rFonts w:eastAsia="Calibri"/>
          <w:sz w:val="22"/>
          <w:szCs w:val="22"/>
        </w:rPr>
        <w:t>lead (</w:t>
      </w:r>
      <w:r w:rsidRPr="007901D6">
        <w:rPr>
          <w:rFonts w:eastAsia="Calibri"/>
          <w:sz w:val="22"/>
          <w:szCs w:val="22"/>
        </w:rPr>
        <w:t>Pb</w:t>
      </w:r>
      <w:r>
        <w:rPr>
          <w:rFonts w:eastAsia="Calibri"/>
          <w:sz w:val="22"/>
          <w:szCs w:val="22"/>
        </w:rPr>
        <w:t>)</w:t>
      </w:r>
      <w:r w:rsidRPr="007901D6">
        <w:rPr>
          <w:rFonts w:eastAsia="Calibri"/>
          <w:sz w:val="22"/>
          <w:szCs w:val="22"/>
        </w:rPr>
        <w:t xml:space="preserve">, </w:t>
      </w:r>
      <w:r w:rsidRPr="00983283">
        <w:rPr>
          <w:rFonts w:eastAsia="Calibri"/>
          <w:sz w:val="22"/>
          <w:szCs w:val="22"/>
        </w:rPr>
        <w:t>fluorides (F), and mercury (Hg).</w:t>
      </w:r>
      <w:r w:rsidRPr="007901D6">
        <w:rPr>
          <w:rFonts w:eastAsia="Calibri"/>
          <w:sz w:val="22"/>
          <w:szCs w:val="22"/>
        </w:rPr>
        <w:t xml:space="preserve">  Additional PSD pollutants that are more common to certain other industries include: hydrogen sulfide (H</w:t>
      </w:r>
      <w:r w:rsidRPr="007901D6">
        <w:rPr>
          <w:rFonts w:eastAsia="Calibri"/>
          <w:sz w:val="22"/>
          <w:szCs w:val="22"/>
          <w:vertAlign w:val="subscript"/>
        </w:rPr>
        <w:t>2</w:t>
      </w:r>
      <w:r w:rsidRPr="007901D6">
        <w:rPr>
          <w:rFonts w:eastAsia="Calibri"/>
          <w:sz w:val="22"/>
          <w:szCs w:val="22"/>
        </w:rPr>
        <w:t>S), TRS including H</w:t>
      </w:r>
      <w:r w:rsidRPr="007901D6">
        <w:rPr>
          <w:rFonts w:eastAsia="Calibri"/>
          <w:sz w:val="22"/>
          <w:szCs w:val="22"/>
          <w:vertAlign w:val="subscript"/>
        </w:rPr>
        <w:t>2</w:t>
      </w:r>
      <w:r w:rsidRPr="007901D6">
        <w:rPr>
          <w:rFonts w:eastAsia="Calibri"/>
          <w:sz w:val="22"/>
          <w:szCs w:val="22"/>
        </w:rPr>
        <w:t>S, reduced sulfur compounds (RSC) including H</w:t>
      </w:r>
      <w:r w:rsidRPr="007901D6">
        <w:rPr>
          <w:rFonts w:eastAsia="Calibri"/>
          <w:sz w:val="22"/>
          <w:szCs w:val="22"/>
          <w:vertAlign w:val="subscript"/>
        </w:rPr>
        <w:t>2</w:t>
      </w:r>
      <w:r w:rsidRPr="007901D6">
        <w:rPr>
          <w:rFonts w:eastAsia="Calibri"/>
          <w:sz w:val="22"/>
          <w:szCs w:val="22"/>
        </w:rPr>
        <w:t>S, municipal waste combustor (MWC) organics measured as total tetra- through octa-chlorinated dibenzo-p-dioxins and dibenzofurans (dioxin/fu</w:t>
      </w:r>
      <w:r w:rsidR="00580514">
        <w:rPr>
          <w:rFonts w:eastAsia="Calibri"/>
          <w:sz w:val="22"/>
          <w:szCs w:val="22"/>
        </w:rPr>
        <w:t>ran), MWC metals measured as PM,</w:t>
      </w:r>
      <w:r w:rsidRPr="007901D6">
        <w:rPr>
          <w:rFonts w:eastAsia="Calibri"/>
          <w:sz w:val="22"/>
          <w:szCs w:val="22"/>
        </w:rPr>
        <w:t xml:space="preserve"> MWC acid gases measured as SO</w:t>
      </w:r>
      <w:r w:rsidRPr="007901D6">
        <w:rPr>
          <w:rFonts w:eastAsia="Calibri"/>
          <w:sz w:val="22"/>
          <w:szCs w:val="22"/>
          <w:vertAlign w:val="subscript"/>
        </w:rPr>
        <w:t>2</w:t>
      </w:r>
      <w:r w:rsidRPr="007901D6">
        <w:rPr>
          <w:rFonts w:eastAsia="Calibri"/>
          <w:sz w:val="22"/>
          <w:szCs w:val="22"/>
        </w:rPr>
        <w:t xml:space="preserve"> and HCl, and municipal solid waste (</w:t>
      </w:r>
      <w:r w:rsidRPr="007901D6">
        <w:rPr>
          <w:sz w:val="22"/>
          <w:szCs w:val="22"/>
        </w:rPr>
        <w:t>MSW) landfill emissions as non-methane organic compounds (NMOC)</w:t>
      </w:r>
      <w:r w:rsidRPr="007901D6">
        <w:rPr>
          <w:rFonts w:eastAsia="Calibri"/>
          <w:sz w:val="22"/>
          <w:szCs w:val="22"/>
        </w:rPr>
        <w:t xml:space="preserve">.  </w:t>
      </w:r>
    </w:p>
    <w:p w:rsidR="008B5EE9" w:rsidRDefault="008B5EE9" w:rsidP="008B5EE9">
      <w:pPr>
        <w:widowControl w:val="0"/>
        <w:spacing w:after="120"/>
        <w:rPr>
          <w:rFonts w:eastAsia="Calibri"/>
          <w:sz w:val="22"/>
          <w:szCs w:val="22"/>
        </w:rPr>
      </w:pPr>
      <w:r w:rsidRPr="007901D6">
        <w:rPr>
          <w:rFonts w:eastAsia="Calibri"/>
          <w:sz w:val="22"/>
          <w:szCs w:val="22"/>
        </w:rPr>
        <w:t>G</w:t>
      </w:r>
      <w:r>
        <w:rPr>
          <w:rFonts w:eastAsia="Calibri"/>
          <w:sz w:val="22"/>
          <w:szCs w:val="22"/>
        </w:rPr>
        <w:t>reenhouse gases (G</w:t>
      </w:r>
      <w:r w:rsidRPr="007901D6">
        <w:rPr>
          <w:rFonts w:eastAsia="Calibri"/>
          <w:sz w:val="22"/>
          <w:szCs w:val="22"/>
        </w:rPr>
        <w:t>HGs</w:t>
      </w:r>
      <w:r>
        <w:rPr>
          <w:rFonts w:eastAsia="Calibri"/>
          <w:sz w:val="22"/>
          <w:szCs w:val="22"/>
        </w:rPr>
        <w:t>)</w:t>
      </w:r>
      <w:r w:rsidRPr="007901D6">
        <w:rPr>
          <w:rFonts w:eastAsia="Calibri"/>
          <w:sz w:val="22"/>
          <w:szCs w:val="22"/>
        </w:rPr>
        <w:t xml:space="preserve"> </w:t>
      </w:r>
      <w:r w:rsidR="00854BBF">
        <w:rPr>
          <w:rFonts w:eastAsia="Calibri"/>
          <w:sz w:val="22"/>
          <w:szCs w:val="22"/>
        </w:rPr>
        <w:t xml:space="preserve">is </w:t>
      </w:r>
      <w:r w:rsidR="007F47DF">
        <w:rPr>
          <w:rFonts w:eastAsia="Calibri"/>
          <w:sz w:val="22"/>
          <w:szCs w:val="22"/>
        </w:rPr>
        <w:t xml:space="preserve">another PSD </w:t>
      </w:r>
      <w:r w:rsidR="00854BBF">
        <w:rPr>
          <w:rFonts w:eastAsia="Calibri"/>
          <w:sz w:val="22"/>
          <w:szCs w:val="22"/>
        </w:rPr>
        <w:t xml:space="preserve">pollutant.  </w:t>
      </w:r>
      <w:r w:rsidR="007F47DF">
        <w:rPr>
          <w:rFonts w:eastAsia="Calibri"/>
          <w:sz w:val="22"/>
          <w:szCs w:val="22"/>
        </w:rPr>
        <w:t xml:space="preserve">GHGs </w:t>
      </w:r>
      <w:r w:rsidRPr="007901D6">
        <w:rPr>
          <w:rFonts w:eastAsia="Calibri"/>
          <w:sz w:val="22"/>
          <w:szCs w:val="22"/>
        </w:rPr>
        <w:t xml:space="preserve">is defined at section 40 CFR 86.1818-12(a) as the aggregate group of gases including </w:t>
      </w:r>
      <w:r w:rsidR="00397A7D">
        <w:rPr>
          <w:rFonts w:eastAsia="Calibri"/>
          <w:sz w:val="22"/>
          <w:szCs w:val="22"/>
        </w:rPr>
        <w:t>carbon dioxide (</w:t>
      </w:r>
      <w:r w:rsidRPr="007901D6">
        <w:rPr>
          <w:rFonts w:eastAsia="Calibri"/>
          <w:sz w:val="22"/>
          <w:szCs w:val="22"/>
        </w:rPr>
        <w:t>CO</w:t>
      </w:r>
      <w:r w:rsidRPr="007901D6">
        <w:rPr>
          <w:rFonts w:eastAsia="Calibri"/>
          <w:sz w:val="22"/>
          <w:szCs w:val="22"/>
          <w:vertAlign w:val="subscript"/>
        </w:rPr>
        <w:t>2</w:t>
      </w:r>
      <w:r w:rsidR="00397A7D">
        <w:rPr>
          <w:rFonts w:eastAsia="Calibri"/>
          <w:sz w:val="22"/>
          <w:szCs w:val="22"/>
        </w:rPr>
        <w:t>)</w:t>
      </w:r>
      <w:r w:rsidRPr="007901D6">
        <w:rPr>
          <w:rFonts w:eastAsia="Calibri"/>
          <w:sz w:val="22"/>
          <w:szCs w:val="22"/>
        </w:rPr>
        <w:t xml:space="preserve"> nitrous oxide (N</w:t>
      </w:r>
      <w:r w:rsidRPr="007901D6">
        <w:rPr>
          <w:rFonts w:eastAsia="Calibri"/>
          <w:sz w:val="22"/>
          <w:szCs w:val="22"/>
          <w:vertAlign w:val="subscript"/>
        </w:rPr>
        <w:t>2</w:t>
      </w:r>
      <w:r w:rsidRPr="007901D6">
        <w:rPr>
          <w:rFonts w:eastAsia="Calibri"/>
          <w:sz w:val="22"/>
          <w:szCs w:val="22"/>
        </w:rPr>
        <w:t xml:space="preserve">O), methane </w:t>
      </w:r>
      <w:r>
        <w:rPr>
          <w:rFonts w:eastAsia="Calibri"/>
          <w:sz w:val="22"/>
          <w:szCs w:val="22"/>
        </w:rPr>
        <w:t>(</w:t>
      </w:r>
      <w:r w:rsidRPr="007901D6">
        <w:rPr>
          <w:rFonts w:eastAsia="Calibri"/>
          <w:sz w:val="22"/>
          <w:szCs w:val="22"/>
        </w:rPr>
        <w:t>CH</w:t>
      </w:r>
      <w:r w:rsidRPr="007901D6">
        <w:rPr>
          <w:rFonts w:eastAsia="Calibri"/>
          <w:sz w:val="22"/>
          <w:szCs w:val="22"/>
          <w:vertAlign w:val="subscript"/>
        </w:rPr>
        <w:t>4</w:t>
      </w:r>
      <w:r>
        <w:rPr>
          <w:rFonts w:eastAsia="Calibri"/>
          <w:sz w:val="22"/>
          <w:szCs w:val="22"/>
        </w:rPr>
        <w:t>)</w:t>
      </w:r>
      <w:r w:rsidRPr="007901D6">
        <w:rPr>
          <w:rFonts w:eastAsia="Calibri"/>
          <w:sz w:val="22"/>
          <w:szCs w:val="22"/>
        </w:rPr>
        <w:t>, hydrofluorocarbons (HFCs), perfluorocarbons (PFCs), and sulfur hexafluoride (SF</w:t>
      </w:r>
      <w:r w:rsidRPr="007901D6">
        <w:rPr>
          <w:rFonts w:eastAsia="Calibri"/>
          <w:sz w:val="22"/>
          <w:szCs w:val="22"/>
          <w:vertAlign w:val="subscript"/>
        </w:rPr>
        <w:t>6</w:t>
      </w:r>
      <w:r w:rsidRPr="007901D6">
        <w:rPr>
          <w:rFonts w:eastAsia="Calibri"/>
          <w:sz w:val="22"/>
          <w:szCs w:val="22"/>
        </w:rPr>
        <w:t>).  GHGs is expressed as CO</w:t>
      </w:r>
      <w:r w:rsidRPr="007901D6">
        <w:rPr>
          <w:rFonts w:eastAsia="Calibri"/>
          <w:sz w:val="22"/>
          <w:szCs w:val="22"/>
          <w:vertAlign w:val="subscript"/>
        </w:rPr>
        <w:t>2</w:t>
      </w:r>
      <w:r w:rsidRPr="007901D6">
        <w:rPr>
          <w:rFonts w:eastAsia="Calibri"/>
          <w:sz w:val="22"/>
          <w:szCs w:val="22"/>
        </w:rPr>
        <w:t>-equivalent (CO</w:t>
      </w:r>
      <w:r w:rsidRPr="007901D6">
        <w:rPr>
          <w:rFonts w:eastAsia="Calibri"/>
          <w:sz w:val="22"/>
          <w:szCs w:val="22"/>
          <w:vertAlign w:val="subscript"/>
        </w:rPr>
        <w:t>2</w:t>
      </w:r>
      <w:r w:rsidRPr="007901D6">
        <w:rPr>
          <w:rFonts w:eastAsia="Calibri"/>
          <w:sz w:val="22"/>
          <w:szCs w:val="22"/>
        </w:rPr>
        <w:t xml:space="preserve">e).  </w:t>
      </w:r>
      <w:r w:rsidR="00397A7D" w:rsidRPr="00BD2494">
        <w:rPr>
          <w:rFonts w:eastAsia="Calibri"/>
          <w:sz w:val="22"/>
          <w:szCs w:val="22"/>
        </w:rPr>
        <w:t>In making the CO</w:t>
      </w:r>
      <w:r w:rsidR="00397A7D" w:rsidRPr="00BD2494">
        <w:rPr>
          <w:rFonts w:eastAsia="Calibri"/>
          <w:sz w:val="22"/>
          <w:szCs w:val="22"/>
          <w:vertAlign w:val="subscript"/>
        </w:rPr>
        <w:t>2</w:t>
      </w:r>
      <w:r w:rsidR="00397A7D" w:rsidRPr="00BD2494">
        <w:rPr>
          <w:rFonts w:eastAsia="Calibri"/>
          <w:sz w:val="22"/>
          <w:szCs w:val="22"/>
        </w:rPr>
        <w:t xml:space="preserve">e calculation, the </w:t>
      </w:r>
      <w:r w:rsidR="00397A7D" w:rsidRPr="00BD2494">
        <w:rPr>
          <w:sz w:val="22"/>
          <w:szCs w:val="22"/>
        </w:rPr>
        <w:t xml:space="preserve">values listed in 40 CFR 98, Subpart A, Table A-1 are used to weight emissions by their respective Global Warming Potential (GWP).  </w:t>
      </w:r>
      <w:r w:rsidR="007F47DF">
        <w:rPr>
          <w:sz w:val="22"/>
          <w:szCs w:val="22"/>
        </w:rPr>
        <w:t xml:space="preserve">E.g., </w:t>
      </w:r>
      <w:r w:rsidR="00397A7D" w:rsidRPr="00BD2494">
        <w:rPr>
          <w:sz w:val="22"/>
          <w:szCs w:val="22"/>
        </w:rPr>
        <w:t>the current GWP factors for four of the GHGs are:  CO</w:t>
      </w:r>
      <w:r w:rsidR="00397A7D" w:rsidRPr="00BD2494">
        <w:rPr>
          <w:sz w:val="22"/>
          <w:szCs w:val="22"/>
          <w:vertAlign w:val="subscript"/>
        </w:rPr>
        <w:t>2</w:t>
      </w:r>
      <w:r w:rsidR="00397A7D" w:rsidRPr="00BD2494">
        <w:rPr>
          <w:sz w:val="22"/>
          <w:szCs w:val="22"/>
        </w:rPr>
        <w:t xml:space="preserve"> = 1; CH</w:t>
      </w:r>
      <w:r w:rsidR="00397A7D" w:rsidRPr="00BD2494">
        <w:rPr>
          <w:sz w:val="22"/>
          <w:szCs w:val="22"/>
          <w:vertAlign w:val="subscript"/>
        </w:rPr>
        <w:t>4</w:t>
      </w:r>
      <w:r w:rsidR="00397A7D" w:rsidRPr="00BD2494">
        <w:rPr>
          <w:sz w:val="22"/>
          <w:szCs w:val="22"/>
        </w:rPr>
        <w:t xml:space="preserve"> = 25; N</w:t>
      </w:r>
      <w:r w:rsidR="00397A7D" w:rsidRPr="00BD2494">
        <w:rPr>
          <w:sz w:val="22"/>
          <w:szCs w:val="22"/>
          <w:vertAlign w:val="subscript"/>
        </w:rPr>
        <w:t>2</w:t>
      </w:r>
      <w:r w:rsidR="00397A7D" w:rsidRPr="00BD2494">
        <w:rPr>
          <w:sz w:val="22"/>
          <w:szCs w:val="22"/>
        </w:rPr>
        <w:t>O = 298 and SF</w:t>
      </w:r>
      <w:r w:rsidR="00397A7D" w:rsidRPr="00BD2494">
        <w:rPr>
          <w:sz w:val="22"/>
          <w:szCs w:val="22"/>
          <w:vertAlign w:val="subscript"/>
        </w:rPr>
        <w:t>6</w:t>
      </w:r>
      <w:r w:rsidR="00397A7D" w:rsidRPr="00BD2494">
        <w:rPr>
          <w:sz w:val="22"/>
          <w:szCs w:val="22"/>
        </w:rPr>
        <w:t xml:space="preserve"> = 22,800.  </w:t>
      </w:r>
      <w:hyperlink r:id="rId27" w:anchor="ap40.21.98_19.1" w:history="1">
        <w:r w:rsidR="00397A7D">
          <w:rPr>
            <w:rStyle w:val="Hyperlink"/>
            <w:sz w:val="22"/>
            <w:szCs w:val="22"/>
          </w:rPr>
          <w:t>Link to 40 CFR 98, Subpart A</w:t>
        </w:r>
      </w:hyperlink>
    </w:p>
    <w:p w:rsidR="008B5EE9" w:rsidRPr="00EE76BA" w:rsidRDefault="008B5EE9" w:rsidP="00397A7D">
      <w:pPr>
        <w:pStyle w:val="ListParagraph"/>
        <w:numPr>
          <w:ilvl w:val="1"/>
          <w:numId w:val="1"/>
        </w:numPr>
        <w:tabs>
          <w:tab w:val="left" w:pos="450"/>
        </w:tabs>
        <w:spacing w:after="120"/>
        <w:ind w:left="450" w:hanging="450"/>
        <w:rPr>
          <w:b/>
          <w:caps/>
          <w:sz w:val="22"/>
        </w:rPr>
      </w:pPr>
      <w:r>
        <w:rPr>
          <w:b/>
          <w:sz w:val="22"/>
          <w:szCs w:val="22"/>
        </w:rPr>
        <w:t>Definition of a Major Stationary Source</w:t>
      </w:r>
    </w:p>
    <w:p w:rsidR="008B5EE9" w:rsidRPr="007901D6" w:rsidRDefault="008B5EE9" w:rsidP="008B5EE9">
      <w:pPr>
        <w:pStyle w:val="Default"/>
        <w:spacing w:after="120"/>
        <w:rPr>
          <w:sz w:val="22"/>
          <w:szCs w:val="22"/>
        </w:rPr>
      </w:pPr>
      <w:r w:rsidRPr="007901D6">
        <w:rPr>
          <w:rFonts w:eastAsia="Calibri"/>
          <w:sz w:val="22"/>
          <w:szCs w:val="22"/>
        </w:rPr>
        <w:t xml:space="preserve">As defined in Rule 62-210.200(Definitions), F.A.C., </w:t>
      </w:r>
      <w:r w:rsidRPr="007901D6">
        <w:rPr>
          <w:sz w:val="22"/>
          <w:szCs w:val="22"/>
        </w:rPr>
        <w:t>a stationary source is a “major stationary source” (major PSD source) if it emits or has the potential to emit (PTE):</w:t>
      </w:r>
    </w:p>
    <w:p w:rsidR="008B5EE9" w:rsidRPr="007901D6" w:rsidRDefault="008B5EE9" w:rsidP="00397A7D">
      <w:pPr>
        <w:pStyle w:val="Default"/>
        <w:numPr>
          <w:ilvl w:val="0"/>
          <w:numId w:val="2"/>
        </w:numPr>
        <w:spacing w:after="120"/>
        <w:ind w:left="360"/>
        <w:rPr>
          <w:rFonts w:eastAsia="Calibri"/>
          <w:sz w:val="22"/>
          <w:szCs w:val="22"/>
        </w:rPr>
      </w:pPr>
      <w:r w:rsidRPr="007901D6">
        <w:rPr>
          <w:sz w:val="22"/>
          <w:szCs w:val="22"/>
        </w:rPr>
        <w:t xml:space="preserve">250 tons per year (tons/year) or more of any PSD pollutant; </w:t>
      </w:r>
      <w:r w:rsidRPr="007901D6">
        <w:rPr>
          <w:sz w:val="22"/>
          <w:szCs w:val="22"/>
          <w:u w:val="single"/>
        </w:rPr>
        <w:t>or</w:t>
      </w:r>
      <w:r w:rsidRPr="007901D6">
        <w:rPr>
          <w:sz w:val="22"/>
          <w:szCs w:val="22"/>
        </w:rPr>
        <w:t xml:space="preserve"> </w:t>
      </w:r>
    </w:p>
    <w:p w:rsidR="008B5EE9" w:rsidRPr="009C3F15" w:rsidRDefault="008B5EE9" w:rsidP="00397A7D">
      <w:pPr>
        <w:pStyle w:val="Default"/>
        <w:numPr>
          <w:ilvl w:val="0"/>
          <w:numId w:val="2"/>
        </w:numPr>
        <w:spacing w:after="120"/>
        <w:ind w:left="360"/>
        <w:rPr>
          <w:rFonts w:eastAsia="Calibri"/>
          <w:sz w:val="22"/>
          <w:szCs w:val="22"/>
        </w:rPr>
      </w:pPr>
      <w:r w:rsidRPr="007901D6">
        <w:rPr>
          <w:sz w:val="22"/>
          <w:szCs w:val="22"/>
        </w:rPr>
        <w:t xml:space="preserve">100 tons/year or more of any PSD pollutant </w:t>
      </w:r>
      <w:r w:rsidRPr="007901D6">
        <w:rPr>
          <w:sz w:val="22"/>
          <w:szCs w:val="22"/>
          <w:u w:val="single"/>
        </w:rPr>
        <w:t>and</w:t>
      </w:r>
      <w:r w:rsidRPr="007901D6">
        <w:rPr>
          <w:sz w:val="22"/>
          <w:szCs w:val="22"/>
        </w:rPr>
        <w:t xml:space="preserve"> the facility belongs to one of the 28 listed PSD major facility categories</w:t>
      </w:r>
      <w:r>
        <w:rPr>
          <w:sz w:val="22"/>
          <w:szCs w:val="22"/>
        </w:rPr>
        <w:t>.</w:t>
      </w:r>
      <w:r w:rsidRPr="007901D6">
        <w:rPr>
          <w:sz w:val="22"/>
          <w:szCs w:val="22"/>
        </w:rPr>
        <w:t xml:space="preserve"> </w:t>
      </w:r>
    </w:p>
    <w:p w:rsidR="00F07286" w:rsidRDefault="00F07286" w:rsidP="008B5EE9">
      <w:pPr>
        <w:widowControl w:val="0"/>
        <w:spacing w:after="120"/>
        <w:rPr>
          <w:rFonts w:eastAsia="Calibri"/>
          <w:sz w:val="22"/>
          <w:szCs w:val="22"/>
        </w:rPr>
      </w:pPr>
      <w:r>
        <w:rPr>
          <w:sz w:val="22"/>
          <w:szCs w:val="22"/>
        </w:rPr>
        <w:t xml:space="preserve">According to a recent </w:t>
      </w:r>
      <w:r w:rsidRPr="00007C63">
        <w:rPr>
          <w:sz w:val="22"/>
          <w:szCs w:val="22"/>
        </w:rPr>
        <w:t xml:space="preserve">Supreme Court Opinion and EPA Implementation Guidance, </w:t>
      </w:r>
      <w:r w:rsidR="001D6E6A">
        <w:rPr>
          <w:sz w:val="22"/>
          <w:szCs w:val="22"/>
        </w:rPr>
        <w:t xml:space="preserve">a stationary source is not a major stationary source subject to PSD </w:t>
      </w:r>
      <w:r w:rsidRPr="00007C63">
        <w:rPr>
          <w:sz w:val="22"/>
          <w:szCs w:val="22"/>
        </w:rPr>
        <w:t xml:space="preserve">if </w:t>
      </w:r>
      <w:r w:rsidR="001D6E6A">
        <w:rPr>
          <w:sz w:val="22"/>
          <w:szCs w:val="22"/>
        </w:rPr>
        <w:t>only its GHGs emissions exceed the values listed above</w:t>
      </w:r>
      <w:r w:rsidRPr="00007C63">
        <w:rPr>
          <w:sz w:val="22"/>
          <w:szCs w:val="22"/>
        </w:rPr>
        <w:t>.</w:t>
      </w:r>
      <w:r w:rsidRPr="00007C63">
        <w:rPr>
          <w:rFonts w:eastAsia="Calibri"/>
          <w:sz w:val="22"/>
          <w:szCs w:val="22"/>
        </w:rPr>
        <w:t xml:space="preserve"> </w:t>
      </w:r>
      <w:r w:rsidRPr="00007C63">
        <w:rPr>
          <w:rStyle w:val="FootnoteReference"/>
          <w:rFonts w:eastAsia="Calibri"/>
          <w:sz w:val="22"/>
          <w:szCs w:val="22"/>
        </w:rPr>
        <w:footnoteReference w:id="1"/>
      </w:r>
    </w:p>
    <w:p w:rsidR="008B5EE9" w:rsidRPr="007901D6" w:rsidRDefault="008B5EE9" w:rsidP="008B5EE9">
      <w:pPr>
        <w:widowControl w:val="0"/>
        <w:spacing w:after="120"/>
        <w:rPr>
          <w:rFonts w:eastAsia="Calibri"/>
          <w:sz w:val="22"/>
          <w:szCs w:val="22"/>
        </w:rPr>
      </w:pPr>
      <w:r w:rsidRPr="00B81C9A">
        <w:rPr>
          <w:rFonts w:eastAsia="Calibri"/>
          <w:sz w:val="22"/>
          <w:szCs w:val="22"/>
        </w:rPr>
        <w:t>The list</w:t>
      </w:r>
      <w:r>
        <w:rPr>
          <w:rFonts w:eastAsia="Calibri"/>
          <w:sz w:val="22"/>
          <w:szCs w:val="22"/>
        </w:rPr>
        <w:t>ed PSD major facility categories</w:t>
      </w:r>
      <w:r w:rsidRPr="00B81C9A">
        <w:rPr>
          <w:rFonts w:eastAsia="Calibri"/>
          <w:sz w:val="22"/>
          <w:szCs w:val="22"/>
        </w:rPr>
        <w:t xml:space="preserve"> includes “fossil fuel-fired steam electric plants of more than 250 million British thermal units per hour heat input”.  The given category applies to the </w:t>
      </w:r>
      <w:r w:rsidR="00AC0AAF">
        <w:rPr>
          <w:rFonts w:eastAsia="Calibri"/>
          <w:sz w:val="22"/>
          <w:szCs w:val="22"/>
        </w:rPr>
        <w:t>FPL</w:t>
      </w:r>
      <w:r>
        <w:rPr>
          <w:rFonts w:eastAsia="Calibri"/>
          <w:sz w:val="22"/>
          <w:szCs w:val="22"/>
        </w:rPr>
        <w:t xml:space="preserve"> </w:t>
      </w:r>
      <w:r w:rsidR="00AC0AAF">
        <w:rPr>
          <w:rFonts w:eastAsia="Calibri"/>
          <w:sz w:val="22"/>
          <w:szCs w:val="22"/>
        </w:rPr>
        <w:t>Fort Myers Power Plant</w:t>
      </w:r>
      <w:r>
        <w:rPr>
          <w:rFonts w:eastAsia="Calibri"/>
          <w:sz w:val="22"/>
          <w:szCs w:val="22"/>
        </w:rPr>
        <w:t>.</w:t>
      </w:r>
      <w:r w:rsidRPr="00B81C9A">
        <w:rPr>
          <w:rFonts w:eastAsia="Calibri"/>
          <w:sz w:val="22"/>
          <w:szCs w:val="22"/>
        </w:rPr>
        <w:t xml:space="preserve">  </w:t>
      </w:r>
      <w:r>
        <w:rPr>
          <w:rFonts w:eastAsia="Calibri"/>
          <w:sz w:val="22"/>
          <w:szCs w:val="22"/>
        </w:rPr>
        <w:t xml:space="preserve">The </w:t>
      </w:r>
      <w:r w:rsidR="00AC0AAF">
        <w:rPr>
          <w:rFonts w:eastAsia="Calibri"/>
          <w:sz w:val="22"/>
          <w:szCs w:val="22"/>
        </w:rPr>
        <w:t>Fort Myers Power Plant</w:t>
      </w:r>
      <w:r>
        <w:rPr>
          <w:rFonts w:eastAsia="Calibri"/>
          <w:sz w:val="22"/>
          <w:szCs w:val="22"/>
        </w:rPr>
        <w:t xml:space="preserve"> </w:t>
      </w:r>
      <w:r w:rsidRPr="00B81C9A">
        <w:rPr>
          <w:rFonts w:eastAsia="Calibri"/>
          <w:sz w:val="22"/>
          <w:szCs w:val="22"/>
        </w:rPr>
        <w:t xml:space="preserve">is a major stationary source based on actual emissions of and potential to emit </w:t>
      </w:r>
      <w:r>
        <w:rPr>
          <w:rFonts w:eastAsia="Calibri"/>
          <w:sz w:val="22"/>
          <w:szCs w:val="22"/>
        </w:rPr>
        <w:t>100</w:t>
      </w:r>
      <w:r w:rsidRPr="00B81C9A">
        <w:rPr>
          <w:rFonts w:eastAsia="Calibri"/>
          <w:sz w:val="22"/>
          <w:szCs w:val="22"/>
        </w:rPr>
        <w:t xml:space="preserve"> tons/year or more of several individual PSD pollutants.</w:t>
      </w:r>
      <w:r w:rsidRPr="005C0768">
        <w:rPr>
          <w:rFonts w:eastAsia="Calibri"/>
          <w:sz w:val="22"/>
          <w:szCs w:val="22"/>
        </w:rPr>
        <w:t xml:space="preserve">  </w:t>
      </w:r>
    </w:p>
    <w:p w:rsidR="007877FA" w:rsidRDefault="008B5EE9" w:rsidP="00617D4C">
      <w:pPr>
        <w:spacing w:after="120"/>
        <w:rPr>
          <w:rFonts w:eastAsia="Calibri"/>
          <w:sz w:val="22"/>
          <w:szCs w:val="22"/>
        </w:rPr>
      </w:pPr>
      <w:r w:rsidRPr="007901D6">
        <w:rPr>
          <w:rFonts w:eastAsia="Calibri"/>
          <w:sz w:val="22"/>
          <w:szCs w:val="22"/>
        </w:rPr>
        <w:lastRenderedPageBreak/>
        <w:t>Once a new facility is considered a major stationary source based on one PSD pollutant, then other PSD pollutants are reviewed for PSD applicability based on the respective Significant Emission Rate (SER) defined and specified in Rule 62-210.200, F.A.C.  Each pollutant projected to be emitted at a rate equal to or greater than its respective SER is also considered to be “</w:t>
      </w:r>
      <w:r w:rsidRPr="007901D6">
        <w:rPr>
          <w:rFonts w:eastAsia="Calibri"/>
          <w:i/>
          <w:sz w:val="22"/>
          <w:szCs w:val="22"/>
        </w:rPr>
        <w:t>significant</w:t>
      </w:r>
      <w:r w:rsidRPr="007901D6">
        <w:rPr>
          <w:rFonts w:eastAsia="Calibri"/>
          <w:sz w:val="22"/>
          <w:szCs w:val="22"/>
        </w:rPr>
        <w:t xml:space="preserve">” and subject to PSD preconstruction review, including a BACT determination.  </w:t>
      </w:r>
      <w:r w:rsidRPr="00384F3D">
        <w:rPr>
          <w:rFonts w:eastAsia="Calibri"/>
          <w:sz w:val="22"/>
          <w:szCs w:val="22"/>
        </w:rPr>
        <w:t xml:space="preserve">Although a new stationary source may be “major” for a single PSD pollutant, the project must include BACT controls for any PSD pollutant that exceeds the corresponding SERs listed in </w:t>
      </w:r>
      <w:r w:rsidR="00BA5A58">
        <w:fldChar w:fldCharType="begin"/>
      </w:r>
      <w:r w:rsidR="00BA5A58">
        <w:instrText xml:space="preserve"> REF _Ref404613265 \h  \* MERGEFORMAT </w:instrText>
      </w:r>
      <w:r w:rsidR="00BA5A58">
        <w:fldChar w:fldCharType="separate"/>
      </w:r>
      <w:r w:rsidR="00A834F3" w:rsidRPr="00A834F3">
        <w:rPr>
          <w:b/>
          <w:sz w:val="22"/>
          <w:szCs w:val="22"/>
        </w:rPr>
        <w:t>Table 1</w:t>
      </w:r>
      <w:r w:rsidR="00BA5A58">
        <w:fldChar w:fldCharType="end"/>
      </w:r>
      <w:r w:rsidRPr="00384F3D">
        <w:rPr>
          <w:rFonts w:eastAsia="Calibri"/>
          <w:sz w:val="22"/>
          <w:szCs w:val="22"/>
        </w:rPr>
        <w:t xml:space="preserve">.  </w:t>
      </w:r>
    </w:p>
    <w:p w:rsidR="00A834F3" w:rsidRPr="00D7019D" w:rsidRDefault="00A834F3" w:rsidP="00A834F3">
      <w:pPr>
        <w:pStyle w:val="Caption"/>
        <w:spacing w:before="0" w:after="60"/>
        <w:rPr>
          <w:rFonts w:ascii="Times New Roman Bold" w:hAnsi="Times New Roman Bold"/>
          <w:color w:val="000000"/>
          <w:szCs w:val="22"/>
        </w:rPr>
      </w:pPr>
      <w:bookmarkStart w:id="15" w:name="_Ref404613265"/>
      <w:r w:rsidRPr="00270777">
        <w:rPr>
          <w:rFonts w:ascii="Times New Roman Bold" w:hAnsi="Times New Roman Bold"/>
          <w:caps w:val="0"/>
        </w:rPr>
        <w:t xml:space="preserve">Table </w:t>
      </w:r>
      <w:r w:rsidRPr="00D7019D">
        <w:rPr>
          <w:rFonts w:ascii="Times New Roman Bold" w:hAnsi="Times New Roman Bold"/>
        </w:rPr>
        <w:fldChar w:fldCharType="begin"/>
      </w:r>
      <w:r w:rsidRPr="00D7019D">
        <w:rPr>
          <w:rFonts w:ascii="Times New Roman Bold" w:hAnsi="Times New Roman Bold"/>
        </w:rPr>
        <w:instrText xml:space="preserve"> SEQ Table \* ARABIC </w:instrText>
      </w:r>
      <w:r w:rsidRPr="00D7019D">
        <w:rPr>
          <w:rFonts w:ascii="Times New Roman Bold" w:hAnsi="Times New Roman Bold"/>
        </w:rPr>
        <w:fldChar w:fldCharType="separate"/>
      </w:r>
      <w:r>
        <w:rPr>
          <w:rFonts w:ascii="Times New Roman Bold" w:hAnsi="Times New Roman Bold"/>
          <w:noProof/>
        </w:rPr>
        <w:t>1</w:t>
      </w:r>
      <w:r w:rsidRPr="00D7019D">
        <w:rPr>
          <w:rFonts w:ascii="Times New Roman Bold" w:hAnsi="Times New Roman Bold"/>
        </w:rPr>
        <w:fldChar w:fldCharType="end"/>
      </w:r>
      <w:bookmarkEnd w:id="15"/>
      <w:r w:rsidRPr="00D7019D">
        <w:rPr>
          <w:rFonts w:ascii="Times New Roman Bold" w:hAnsi="Times New Roman Bold"/>
        </w:rPr>
        <w:t xml:space="preserve">.  </w:t>
      </w:r>
      <w:r w:rsidRPr="00270777">
        <w:rPr>
          <w:rFonts w:ascii="Times New Roman Bold" w:hAnsi="Times New Roman Bold"/>
          <w:caps w:val="0"/>
          <w:color w:val="000000"/>
          <w:szCs w:val="22"/>
        </w:rPr>
        <w:t>List of Significant Emission Rates (SERs) by PSD-Pollutant</w:t>
      </w:r>
      <w:r w:rsidRPr="00D7019D">
        <w:rPr>
          <w:rFonts w:ascii="Times New Roman Bold" w:hAnsi="Times New Roman Bold"/>
          <w:color w:val="000000"/>
          <w:szCs w:val="22"/>
        </w:rPr>
        <w:t xml:space="preserve">. </w:t>
      </w:r>
      <w:r w:rsidRPr="00D7019D">
        <w:rPr>
          <w:rFonts w:ascii="Times New Roman Bold" w:hAnsi="Times New Roman Bold"/>
          <w:color w:val="000000"/>
          <w:szCs w:val="22"/>
          <w:vertAlign w:val="superscript"/>
        </w:rPr>
        <w:t>1</w:t>
      </w:r>
    </w:p>
    <w:tbl>
      <w:tblPr>
        <w:tblW w:w="965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200"/>
        <w:gridCol w:w="2400"/>
        <w:gridCol w:w="2100"/>
        <w:gridCol w:w="2950"/>
      </w:tblGrid>
      <w:tr w:rsidR="00A834F3" w:rsidRPr="005C0768" w:rsidTr="00A834F3">
        <w:trPr>
          <w:trHeight w:val="290"/>
          <w:tblHeader/>
        </w:trPr>
        <w:tc>
          <w:tcPr>
            <w:tcW w:w="2200" w:type="dxa"/>
            <w:tcBorders>
              <w:top w:val="single" w:sz="12" w:space="0" w:color="auto"/>
              <w:bottom w:val="single" w:sz="12" w:space="0" w:color="auto"/>
            </w:tcBorders>
            <w:shd w:val="clear" w:color="auto" w:fill="D5DCE4"/>
            <w:vAlign w:val="center"/>
            <w:hideMark/>
          </w:tcPr>
          <w:p w:rsidR="00A834F3" w:rsidRPr="00412A30" w:rsidRDefault="00A834F3" w:rsidP="00A834F3">
            <w:pPr>
              <w:autoSpaceDE w:val="0"/>
              <w:autoSpaceDN w:val="0"/>
              <w:adjustRightInd w:val="0"/>
              <w:spacing w:before="40" w:after="40"/>
              <w:jc w:val="center"/>
              <w:rPr>
                <w:b/>
                <w:color w:val="000000"/>
              </w:rPr>
            </w:pPr>
            <w:r w:rsidRPr="00412A30">
              <w:rPr>
                <w:b/>
                <w:color w:val="000000"/>
              </w:rPr>
              <w:t>Pollutant</w:t>
            </w:r>
          </w:p>
        </w:tc>
        <w:tc>
          <w:tcPr>
            <w:tcW w:w="2400" w:type="dxa"/>
            <w:tcBorders>
              <w:top w:val="single" w:sz="12" w:space="0" w:color="auto"/>
              <w:bottom w:val="single" w:sz="12" w:space="0" w:color="auto"/>
            </w:tcBorders>
            <w:shd w:val="clear" w:color="auto" w:fill="D5DCE4"/>
            <w:vAlign w:val="center"/>
            <w:hideMark/>
          </w:tcPr>
          <w:p w:rsidR="00A834F3" w:rsidRPr="00412A30" w:rsidRDefault="00A834F3" w:rsidP="00A834F3">
            <w:pPr>
              <w:autoSpaceDE w:val="0"/>
              <w:autoSpaceDN w:val="0"/>
              <w:adjustRightInd w:val="0"/>
              <w:spacing w:before="40" w:after="40"/>
              <w:jc w:val="center"/>
              <w:rPr>
                <w:b/>
                <w:color w:val="000000"/>
              </w:rPr>
            </w:pPr>
            <w:r w:rsidRPr="00412A30">
              <w:rPr>
                <w:b/>
                <w:color w:val="000000"/>
              </w:rPr>
              <w:t>SER (</w:t>
            </w:r>
            <w:r>
              <w:rPr>
                <w:b/>
                <w:color w:val="000000"/>
              </w:rPr>
              <w:t>tons/year)</w:t>
            </w:r>
          </w:p>
        </w:tc>
        <w:tc>
          <w:tcPr>
            <w:tcW w:w="2100" w:type="dxa"/>
            <w:tcBorders>
              <w:top w:val="single" w:sz="12" w:space="0" w:color="auto"/>
              <w:bottom w:val="single" w:sz="12" w:space="0" w:color="auto"/>
            </w:tcBorders>
            <w:shd w:val="clear" w:color="auto" w:fill="D5DCE4"/>
            <w:vAlign w:val="center"/>
            <w:hideMark/>
          </w:tcPr>
          <w:p w:rsidR="00A834F3" w:rsidRPr="00412A30" w:rsidRDefault="00A834F3" w:rsidP="00A834F3">
            <w:pPr>
              <w:autoSpaceDE w:val="0"/>
              <w:autoSpaceDN w:val="0"/>
              <w:adjustRightInd w:val="0"/>
              <w:spacing w:before="40" w:after="40"/>
              <w:jc w:val="center"/>
              <w:rPr>
                <w:b/>
                <w:color w:val="000000"/>
              </w:rPr>
            </w:pPr>
            <w:r w:rsidRPr="00412A30">
              <w:rPr>
                <w:b/>
                <w:color w:val="000000"/>
              </w:rPr>
              <w:t>Pollutant</w:t>
            </w:r>
          </w:p>
        </w:tc>
        <w:tc>
          <w:tcPr>
            <w:tcW w:w="2950" w:type="dxa"/>
            <w:tcBorders>
              <w:top w:val="single" w:sz="12" w:space="0" w:color="auto"/>
              <w:bottom w:val="single" w:sz="12" w:space="0" w:color="auto"/>
            </w:tcBorders>
            <w:shd w:val="clear" w:color="auto" w:fill="D5DCE4"/>
            <w:vAlign w:val="center"/>
            <w:hideMark/>
          </w:tcPr>
          <w:p w:rsidR="00A834F3" w:rsidRPr="00BD2494" w:rsidRDefault="00A834F3" w:rsidP="00A834F3">
            <w:pPr>
              <w:autoSpaceDE w:val="0"/>
              <w:autoSpaceDN w:val="0"/>
              <w:adjustRightInd w:val="0"/>
              <w:spacing w:before="40" w:after="40"/>
              <w:jc w:val="center"/>
              <w:rPr>
                <w:b/>
                <w:color w:val="000000"/>
                <w:vertAlign w:val="superscript"/>
              </w:rPr>
            </w:pPr>
            <w:r w:rsidRPr="00412A30">
              <w:rPr>
                <w:b/>
                <w:color w:val="000000"/>
              </w:rPr>
              <w:t>SER (</w:t>
            </w:r>
            <w:r>
              <w:rPr>
                <w:b/>
                <w:color w:val="000000"/>
              </w:rPr>
              <w:t>tons/year</w:t>
            </w:r>
            <w:r w:rsidRPr="00412A30">
              <w:rPr>
                <w:b/>
                <w:color w:val="000000"/>
              </w:rPr>
              <w:t>)</w:t>
            </w:r>
            <w:r>
              <w:rPr>
                <w:b/>
                <w:color w:val="000000"/>
              </w:rPr>
              <w:t xml:space="preserve"> </w:t>
            </w:r>
            <w:r>
              <w:rPr>
                <w:b/>
                <w:color w:val="000000"/>
                <w:vertAlign w:val="superscript"/>
              </w:rPr>
              <w:t>4</w:t>
            </w:r>
          </w:p>
        </w:tc>
      </w:tr>
      <w:tr w:rsidR="00A834F3" w:rsidRPr="005C0768" w:rsidTr="00A834F3">
        <w:trPr>
          <w:trHeight w:val="264"/>
        </w:trPr>
        <w:tc>
          <w:tcPr>
            <w:tcW w:w="2200" w:type="dxa"/>
            <w:tcBorders>
              <w:top w:val="single" w:sz="12" w:space="0" w:color="auto"/>
            </w:tcBorders>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CO</w:t>
            </w:r>
          </w:p>
        </w:tc>
        <w:tc>
          <w:tcPr>
            <w:tcW w:w="2400" w:type="dxa"/>
            <w:tcBorders>
              <w:top w:val="single" w:sz="12" w:space="0" w:color="auto"/>
            </w:tcBorders>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100</w:t>
            </w:r>
          </w:p>
        </w:tc>
        <w:tc>
          <w:tcPr>
            <w:tcW w:w="2100" w:type="dxa"/>
            <w:tcBorders>
              <w:top w:val="single" w:sz="12" w:space="0" w:color="auto"/>
            </w:tcBorders>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NO</w:t>
            </w:r>
            <w:r w:rsidRPr="006C1FDA">
              <w:rPr>
                <w:color w:val="000000"/>
                <w:vertAlign w:val="subscript"/>
              </w:rPr>
              <w:t>X</w:t>
            </w:r>
          </w:p>
        </w:tc>
        <w:tc>
          <w:tcPr>
            <w:tcW w:w="2950" w:type="dxa"/>
            <w:tcBorders>
              <w:top w:val="single" w:sz="12" w:space="0" w:color="auto"/>
            </w:tcBorders>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40</w:t>
            </w:r>
          </w:p>
        </w:tc>
      </w:tr>
      <w:tr w:rsidR="00A834F3" w:rsidRPr="005C0768" w:rsidTr="00A834F3">
        <w:trPr>
          <w:trHeight w:val="264"/>
        </w:trPr>
        <w:tc>
          <w:tcPr>
            <w:tcW w:w="2200" w:type="dxa"/>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PM/PM</w:t>
            </w:r>
            <w:r w:rsidRPr="006C1FDA">
              <w:rPr>
                <w:vertAlign w:val="subscript"/>
              </w:rPr>
              <w:t>10</w:t>
            </w:r>
            <w:r w:rsidRPr="006C1FDA">
              <w:rPr>
                <w:color w:val="000000"/>
              </w:rPr>
              <w:t>/PM</w:t>
            </w:r>
            <w:r w:rsidRPr="006C1FDA">
              <w:rPr>
                <w:color w:val="000000"/>
                <w:vertAlign w:val="subscript"/>
              </w:rPr>
              <w:t>2.5</w:t>
            </w:r>
          </w:p>
        </w:tc>
        <w:tc>
          <w:tcPr>
            <w:tcW w:w="2400" w:type="dxa"/>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25/15/10</w:t>
            </w:r>
          </w:p>
        </w:tc>
        <w:tc>
          <w:tcPr>
            <w:tcW w:w="2100" w:type="dxa"/>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 xml:space="preserve">Ozone (VOC) </w:t>
            </w:r>
            <w:r w:rsidRPr="006C1FDA">
              <w:rPr>
                <w:b/>
                <w:color w:val="000000"/>
                <w:vertAlign w:val="superscript"/>
              </w:rPr>
              <w:t>2</w:t>
            </w:r>
          </w:p>
        </w:tc>
        <w:tc>
          <w:tcPr>
            <w:tcW w:w="2950" w:type="dxa"/>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40</w:t>
            </w:r>
          </w:p>
        </w:tc>
      </w:tr>
      <w:tr w:rsidR="00A834F3" w:rsidRPr="005C0768" w:rsidTr="00A834F3">
        <w:trPr>
          <w:trHeight w:val="264"/>
        </w:trPr>
        <w:tc>
          <w:tcPr>
            <w:tcW w:w="2200" w:type="dxa"/>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PM</w:t>
            </w:r>
            <w:r w:rsidRPr="006C1FDA">
              <w:rPr>
                <w:color w:val="000000"/>
                <w:vertAlign w:val="subscript"/>
              </w:rPr>
              <w:t>2.5</w:t>
            </w:r>
            <w:r w:rsidRPr="006C1FDA">
              <w:rPr>
                <w:color w:val="000000"/>
              </w:rPr>
              <w:t xml:space="preserve"> (NO</w:t>
            </w:r>
            <w:r w:rsidRPr="006C1FDA">
              <w:rPr>
                <w:vertAlign w:val="subscript"/>
              </w:rPr>
              <w:t>X</w:t>
            </w:r>
            <w:r w:rsidRPr="006C1FDA">
              <w:rPr>
                <w:color w:val="000000"/>
              </w:rPr>
              <w:t>)</w:t>
            </w:r>
          </w:p>
        </w:tc>
        <w:tc>
          <w:tcPr>
            <w:tcW w:w="2400" w:type="dxa"/>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40</w:t>
            </w:r>
          </w:p>
        </w:tc>
        <w:tc>
          <w:tcPr>
            <w:tcW w:w="2100" w:type="dxa"/>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PM</w:t>
            </w:r>
            <w:r w:rsidRPr="006C1FDA">
              <w:rPr>
                <w:color w:val="000000"/>
                <w:vertAlign w:val="subscript"/>
              </w:rPr>
              <w:t>2.5</w:t>
            </w:r>
            <w:r w:rsidRPr="006C1FDA">
              <w:rPr>
                <w:color w:val="000000"/>
              </w:rPr>
              <w:t xml:space="preserve"> (SO</w:t>
            </w:r>
            <w:r w:rsidRPr="006C1FDA">
              <w:rPr>
                <w:vertAlign w:val="subscript"/>
              </w:rPr>
              <w:t>2</w:t>
            </w:r>
            <w:r w:rsidRPr="006C1FDA">
              <w:rPr>
                <w:color w:val="000000"/>
              </w:rPr>
              <w:t>)</w:t>
            </w:r>
          </w:p>
        </w:tc>
        <w:tc>
          <w:tcPr>
            <w:tcW w:w="2950" w:type="dxa"/>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40</w:t>
            </w:r>
          </w:p>
        </w:tc>
      </w:tr>
      <w:tr w:rsidR="00A834F3" w:rsidRPr="005C0768" w:rsidTr="00A834F3">
        <w:trPr>
          <w:trHeight w:val="246"/>
        </w:trPr>
        <w:tc>
          <w:tcPr>
            <w:tcW w:w="2200" w:type="dxa"/>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Ozone (NO</w:t>
            </w:r>
            <w:r w:rsidRPr="006C1FDA">
              <w:rPr>
                <w:vertAlign w:val="subscript"/>
              </w:rPr>
              <w:t>X</w:t>
            </w:r>
            <w:r w:rsidRPr="006C1FDA">
              <w:rPr>
                <w:color w:val="000000"/>
              </w:rPr>
              <w:t xml:space="preserve">) </w:t>
            </w:r>
            <w:r w:rsidRPr="006C1FDA">
              <w:rPr>
                <w:b/>
                <w:color w:val="000000"/>
                <w:vertAlign w:val="superscript"/>
              </w:rPr>
              <w:t>2</w:t>
            </w:r>
          </w:p>
        </w:tc>
        <w:tc>
          <w:tcPr>
            <w:tcW w:w="2400" w:type="dxa"/>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40</w:t>
            </w:r>
          </w:p>
        </w:tc>
        <w:tc>
          <w:tcPr>
            <w:tcW w:w="2100" w:type="dxa"/>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SAM</w:t>
            </w:r>
          </w:p>
        </w:tc>
        <w:tc>
          <w:tcPr>
            <w:tcW w:w="2950" w:type="dxa"/>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7</w:t>
            </w:r>
          </w:p>
        </w:tc>
      </w:tr>
      <w:tr w:rsidR="00A834F3" w:rsidRPr="005C0768" w:rsidTr="00A834F3">
        <w:trPr>
          <w:trHeight w:val="255"/>
        </w:trPr>
        <w:tc>
          <w:tcPr>
            <w:tcW w:w="2200" w:type="dxa"/>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SO</w:t>
            </w:r>
            <w:r w:rsidRPr="006C1FDA">
              <w:rPr>
                <w:color w:val="000000"/>
                <w:vertAlign w:val="subscript"/>
              </w:rPr>
              <w:t>2</w:t>
            </w:r>
          </w:p>
        </w:tc>
        <w:tc>
          <w:tcPr>
            <w:tcW w:w="2400" w:type="dxa"/>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40</w:t>
            </w:r>
          </w:p>
        </w:tc>
        <w:tc>
          <w:tcPr>
            <w:tcW w:w="2100" w:type="dxa"/>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Pb</w:t>
            </w:r>
          </w:p>
        </w:tc>
        <w:tc>
          <w:tcPr>
            <w:tcW w:w="2950" w:type="dxa"/>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0.6</w:t>
            </w:r>
          </w:p>
        </w:tc>
      </w:tr>
      <w:tr w:rsidR="00A834F3" w:rsidRPr="005C0768" w:rsidTr="00A834F3">
        <w:trPr>
          <w:trHeight w:val="255"/>
        </w:trPr>
        <w:tc>
          <w:tcPr>
            <w:tcW w:w="2200" w:type="dxa"/>
            <w:tcBorders>
              <w:bottom w:val="single" w:sz="12" w:space="0" w:color="auto"/>
            </w:tcBorders>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Hg</w:t>
            </w:r>
          </w:p>
        </w:tc>
        <w:tc>
          <w:tcPr>
            <w:tcW w:w="2400" w:type="dxa"/>
            <w:tcBorders>
              <w:bottom w:val="single" w:sz="12" w:space="0" w:color="auto"/>
            </w:tcBorders>
            <w:shd w:val="clear" w:color="auto" w:fill="D9E2F3"/>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 xml:space="preserve">0.1 </w:t>
            </w:r>
          </w:p>
        </w:tc>
        <w:tc>
          <w:tcPr>
            <w:tcW w:w="2100" w:type="dxa"/>
            <w:tcBorders>
              <w:bottom w:val="single" w:sz="12" w:space="0" w:color="auto"/>
            </w:tcBorders>
            <w:vAlign w:val="center"/>
            <w:hideMark/>
          </w:tcPr>
          <w:p w:rsidR="00A834F3" w:rsidRPr="006C1FDA" w:rsidRDefault="00A834F3" w:rsidP="00A834F3">
            <w:pPr>
              <w:autoSpaceDE w:val="0"/>
              <w:autoSpaceDN w:val="0"/>
              <w:adjustRightInd w:val="0"/>
              <w:spacing w:before="40" w:after="40"/>
              <w:jc w:val="center"/>
              <w:rPr>
                <w:color w:val="000000"/>
              </w:rPr>
            </w:pPr>
            <w:r w:rsidRPr="006C1FDA">
              <w:rPr>
                <w:color w:val="000000"/>
              </w:rPr>
              <w:t>GHGs</w:t>
            </w:r>
          </w:p>
        </w:tc>
        <w:tc>
          <w:tcPr>
            <w:tcW w:w="2950" w:type="dxa"/>
            <w:tcBorders>
              <w:bottom w:val="single" w:sz="12" w:space="0" w:color="auto"/>
            </w:tcBorders>
            <w:shd w:val="clear" w:color="auto" w:fill="D9E2F3"/>
            <w:vAlign w:val="center"/>
            <w:hideMark/>
          </w:tcPr>
          <w:p w:rsidR="00A834F3" w:rsidRPr="006C1FDA" w:rsidRDefault="00A834F3" w:rsidP="00A834F3">
            <w:pPr>
              <w:autoSpaceDE w:val="0"/>
              <w:autoSpaceDN w:val="0"/>
              <w:adjustRightInd w:val="0"/>
              <w:spacing w:before="40" w:after="40"/>
              <w:jc w:val="center"/>
              <w:rPr>
                <w:color w:val="000000"/>
                <w:vertAlign w:val="superscript"/>
              </w:rPr>
            </w:pPr>
            <w:r w:rsidRPr="006C1FDA">
              <w:rPr>
                <w:color w:val="000000"/>
              </w:rPr>
              <w:t>&gt; 75,000 (CO</w:t>
            </w:r>
            <w:r w:rsidRPr="006C1FDA">
              <w:rPr>
                <w:color w:val="000000"/>
                <w:vertAlign w:val="subscript"/>
              </w:rPr>
              <w:t>2</w:t>
            </w:r>
            <w:r w:rsidRPr="006C1FDA">
              <w:rPr>
                <w:color w:val="000000"/>
              </w:rPr>
              <w:t xml:space="preserve">e) </w:t>
            </w:r>
            <w:r w:rsidRPr="006C1FDA">
              <w:rPr>
                <w:color w:val="000000"/>
                <w:u w:val="single"/>
              </w:rPr>
              <w:t>and</w:t>
            </w:r>
            <w:r w:rsidRPr="006C1FDA">
              <w:rPr>
                <w:color w:val="000000"/>
              </w:rPr>
              <w:t xml:space="preserve"> &gt; 0 (mass) </w:t>
            </w:r>
            <w:r>
              <w:rPr>
                <w:b/>
                <w:color w:val="000000"/>
                <w:vertAlign w:val="superscript"/>
              </w:rPr>
              <w:t>3</w:t>
            </w:r>
          </w:p>
        </w:tc>
      </w:tr>
      <w:tr w:rsidR="00A834F3" w:rsidRPr="005C0768" w:rsidTr="00A834F3">
        <w:trPr>
          <w:trHeight w:val="311"/>
        </w:trPr>
        <w:tc>
          <w:tcPr>
            <w:tcW w:w="9650" w:type="dxa"/>
            <w:gridSpan w:val="4"/>
            <w:tcBorders>
              <w:top w:val="single" w:sz="12" w:space="0" w:color="auto"/>
              <w:bottom w:val="single" w:sz="12" w:space="0" w:color="auto"/>
            </w:tcBorders>
            <w:hideMark/>
          </w:tcPr>
          <w:p w:rsidR="00A834F3" w:rsidRPr="006C40AF" w:rsidRDefault="00A834F3" w:rsidP="00A834F3">
            <w:pPr>
              <w:numPr>
                <w:ilvl w:val="0"/>
                <w:numId w:val="3"/>
              </w:numPr>
              <w:tabs>
                <w:tab w:val="clear" w:pos="1080"/>
                <w:tab w:val="num" w:pos="342"/>
              </w:tabs>
              <w:autoSpaceDE w:val="0"/>
              <w:autoSpaceDN w:val="0"/>
              <w:adjustRightInd w:val="0"/>
              <w:spacing w:before="20" w:after="20"/>
              <w:ind w:left="345" w:hanging="331"/>
              <w:rPr>
                <w:color w:val="000000"/>
                <w:sz w:val="16"/>
                <w:szCs w:val="16"/>
              </w:rPr>
            </w:pPr>
            <w:r w:rsidRPr="006C40AF">
              <w:rPr>
                <w:color w:val="000000"/>
                <w:sz w:val="16"/>
                <w:szCs w:val="16"/>
              </w:rPr>
              <w:t>Excluding fluoride and pollutants specific to the Pulp and Paper industry, MWCs, MSW landfills.</w:t>
            </w:r>
          </w:p>
          <w:p w:rsidR="00A834F3" w:rsidRPr="004A024C" w:rsidRDefault="00A834F3" w:rsidP="00A834F3">
            <w:pPr>
              <w:numPr>
                <w:ilvl w:val="0"/>
                <w:numId w:val="3"/>
              </w:numPr>
              <w:tabs>
                <w:tab w:val="clear" w:pos="1080"/>
                <w:tab w:val="num" w:pos="342"/>
              </w:tabs>
              <w:autoSpaceDE w:val="0"/>
              <w:autoSpaceDN w:val="0"/>
              <w:adjustRightInd w:val="0"/>
              <w:spacing w:after="20"/>
              <w:ind w:left="342" w:hanging="328"/>
              <w:rPr>
                <w:color w:val="000000"/>
                <w:sz w:val="16"/>
                <w:szCs w:val="16"/>
              </w:rPr>
            </w:pPr>
            <w:r w:rsidRPr="006C40AF">
              <w:rPr>
                <w:color w:val="000000"/>
                <w:sz w:val="16"/>
                <w:szCs w:val="16"/>
              </w:rPr>
              <w:t>Ozone (O</w:t>
            </w:r>
            <w:r w:rsidRPr="006C40AF">
              <w:rPr>
                <w:color w:val="000000"/>
                <w:sz w:val="16"/>
                <w:szCs w:val="16"/>
                <w:vertAlign w:val="subscript"/>
              </w:rPr>
              <w:t>3</w:t>
            </w:r>
            <w:r w:rsidRPr="006C40AF">
              <w:rPr>
                <w:color w:val="000000"/>
                <w:sz w:val="16"/>
                <w:szCs w:val="16"/>
              </w:rPr>
              <w:t>) is regulated by its precursors (VOC and NO</w:t>
            </w:r>
            <w:r w:rsidRPr="006C40AF">
              <w:rPr>
                <w:color w:val="000000"/>
                <w:sz w:val="16"/>
                <w:szCs w:val="16"/>
                <w:vertAlign w:val="subscript"/>
              </w:rPr>
              <w:t>X</w:t>
            </w:r>
            <w:r w:rsidRPr="006C40AF">
              <w:rPr>
                <w:color w:val="000000"/>
                <w:sz w:val="16"/>
                <w:szCs w:val="16"/>
              </w:rPr>
              <w:t>).  PSD for PM</w:t>
            </w:r>
            <w:r w:rsidRPr="006C40AF">
              <w:rPr>
                <w:color w:val="000000"/>
                <w:sz w:val="16"/>
                <w:szCs w:val="16"/>
                <w:vertAlign w:val="subscript"/>
              </w:rPr>
              <w:t>2.5</w:t>
            </w:r>
            <w:r w:rsidRPr="006C40AF">
              <w:rPr>
                <w:color w:val="000000"/>
                <w:sz w:val="16"/>
                <w:szCs w:val="16"/>
              </w:rPr>
              <w:t xml:space="preserve"> can be triggered by its precursors (NO</w:t>
            </w:r>
            <w:r w:rsidRPr="006C40AF">
              <w:rPr>
                <w:color w:val="000000"/>
                <w:sz w:val="16"/>
                <w:szCs w:val="16"/>
                <w:vertAlign w:val="subscript"/>
              </w:rPr>
              <w:t>X</w:t>
            </w:r>
            <w:r w:rsidRPr="006C40AF">
              <w:rPr>
                <w:color w:val="000000"/>
                <w:sz w:val="16"/>
                <w:szCs w:val="16"/>
              </w:rPr>
              <w:t xml:space="preserve"> and SO</w:t>
            </w:r>
            <w:r w:rsidRPr="006C40AF">
              <w:rPr>
                <w:color w:val="000000"/>
                <w:sz w:val="16"/>
                <w:szCs w:val="16"/>
                <w:vertAlign w:val="subscript"/>
              </w:rPr>
              <w:t>2</w:t>
            </w:r>
            <w:r w:rsidRPr="006C40AF">
              <w:rPr>
                <w:color w:val="000000"/>
                <w:sz w:val="16"/>
                <w:szCs w:val="16"/>
              </w:rPr>
              <w:t>).</w:t>
            </w:r>
          </w:p>
          <w:p w:rsidR="00A834F3" w:rsidRPr="006C40AF" w:rsidRDefault="00A834F3" w:rsidP="00A834F3">
            <w:pPr>
              <w:numPr>
                <w:ilvl w:val="0"/>
                <w:numId w:val="3"/>
              </w:numPr>
              <w:tabs>
                <w:tab w:val="clear" w:pos="1080"/>
                <w:tab w:val="num" w:pos="342"/>
              </w:tabs>
              <w:autoSpaceDE w:val="0"/>
              <w:autoSpaceDN w:val="0"/>
              <w:adjustRightInd w:val="0"/>
              <w:spacing w:after="20"/>
              <w:ind w:left="345" w:hanging="331"/>
              <w:rPr>
                <w:color w:val="000000"/>
                <w:sz w:val="16"/>
                <w:szCs w:val="16"/>
              </w:rPr>
            </w:pPr>
            <w:r w:rsidRPr="006C40AF">
              <w:rPr>
                <w:color w:val="000000"/>
                <w:sz w:val="16"/>
                <w:szCs w:val="16"/>
              </w:rPr>
              <w:t xml:space="preserve">Pursuant to 40 CFR 52.21(b)(23)(ii), pollutants with no SER listed at 40 CFR 52.21(b)(23)(i) have a SER of zero </w:t>
            </w:r>
            <w:r>
              <w:rPr>
                <w:color w:val="000000"/>
                <w:sz w:val="16"/>
                <w:szCs w:val="16"/>
              </w:rPr>
              <w:t xml:space="preserve">(0) </w:t>
            </w:r>
            <w:r w:rsidRPr="006C40AF">
              <w:rPr>
                <w:color w:val="000000"/>
                <w:sz w:val="16"/>
                <w:szCs w:val="16"/>
              </w:rPr>
              <w:t xml:space="preserve">tons/year. </w:t>
            </w:r>
          </w:p>
          <w:p w:rsidR="00A834F3" w:rsidRPr="005C0768" w:rsidRDefault="00A834F3" w:rsidP="00A834F3">
            <w:pPr>
              <w:numPr>
                <w:ilvl w:val="0"/>
                <w:numId w:val="3"/>
              </w:numPr>
              <w:tabs>
                <w:tab w:val="clear" w:pos="1080"/>
                <w:tab w:val="num" w:pos="342"/>
              </w:tabs>
              <w:autoSpaceDE w:val="0"/>
              <w:autoSpaceDN w:val="0"/>
              <w:adjustRightInd w:val="0"/>
              <w:spacing w:after="20"/>
              <w:ind w:left="345" w:hanging="331"/>
              <w:rPr>
                <w:color w:val="000000"/>
                <w:sz w:val="16"/>
                <w:szCs w:val="16"/>
              </w:rPr>
            </w:pPr>
            <w:r w:rsidRPr="006C40AF">
              <w:rPr>
                <w:color w:val="000000"/>
                <w:sz w:val="16"/>
                <w:szCs w:val="16"/>
              </w:rPr>
              <w:t>SER also means any emissions rate or any net emissions increase associated with a major stationary source or major modification which would construct within 10 km of a Class I area and have an impact on such area equal to or greater than 1 μg/m</w:t>
            </w:r>
            <w:r w:rsidRPr="006C40AF">
              <w:rPr>
                <w:color w:val="000000"/>
                <w:sz w:val="16"/>
                <w:szCs w:val="16"/>
                <w:vertAlign w:val="superscript"/>
              </w:rPr>
              <w:t>3</w:t>
            </w:r>
            <w:r w:rsidRPr="006C40AF">
              <w:rPr>
                <w:color w:val="000000"/>
                <w:sz w:val="16"/>
                <w:szCs w:val="16"/>
              </w:rPr>
              <w:t>, 24-hour average.</w:t>
            </w:r>
          </w:p>
        </w:tc>
      </w:tr>
    </w:tbl>
    <w:p w:rsidR="00617D4C" w:rsidRPr="00861123" w:rsidRDefault="00617D4C" w:rsidP="00617D4C">
      <w:pPr>
        <w:pStyle w:val="ListParagraph"/>
        <w:numPr>
          <w:ilvl w:val="1"/>
          <w:numId w:val="1"/>
        </w:numPr>
        <w:tabs>
          <w:tab w:val="left" w:pos="450"/>
        </w:tabs>
        <w:spacing w:before="120" w:after="120"/>
        <w:ind w:left="446" w:hanging="446"/>
        <w:rPr>
          <w:b/>
          <w:sz w:val="22"/>
          <w:szCs w:val="22"/>
        </w:rPr>
      </w:pPr>
      <w:r w:rsidRPr="00861123">
        <w:rPr>
          <w:b/>
          <w:sz w:val="22"/>
          <w:szCs w:val="22"/>
        </w:rPr>
        <w:t>Definition of Major Modification</w:t>
      </w:r>
    </w:p>
    <w:p w:rsidR="00617D4C" w:rsidRPr="00B15411" w:rsidRDefault="00617D4C" w:rsidP="00617D4C">
      <w:pPr>
        <w:autoSpaceDE w:val="0"/>
        <w:autoSpaceDN w:val="0"/>
        <w:adjustRightInd w:val="0"/>
        <w:spacing w:after="120"/>
        <w:rPr>
          <w:sz w:val="22"/>
          <w:szCs w:val="22"/>
        </w:rPr>
      </w:pPr>
      <w:r>
        <w:rPr>
          <w:sz w:val="22"/>
          <w:szCs w:val="22"/>
        </w:rPr>
        <w:t xml:space="preserve">“Major modifications” at major stationary sources are also subject to PSD review.  </w:t>
      </w:r>
      <w:r w:rsidRPr="00B15411">
        <w:rPr>
          <w:sz w:val="22"/>
          <w:szCs w:val="22"/>
        </w:rPr>
        <w:t xml:space="preserve">According to Rule </w:t>
      </w:r>
      <w:r>
        <w:rPr>
          <w:sz w:val="22"/>
          <w:szCs w:val="22"/>
        </w:rPr>
        <w:br/>
      </w:r>
      <w:r w:rsidRPr="00B15411">
        <w:rPr>
          <w:sz w:val="22"/>
          <w:szCs w:val="22"/>
        </w:rPr>
        <w:t xml:space="preserve">62-210.200(Definitions), F.A.C., Major Modification (of a </w:t>
      </w:r>
      <w:r>
        <w:rPr>
          <w:sz w:val="22"/>
          <w:szCs w:val="22"/>
        </w:rPr>
        <w:t xml:space="preserve">Major </w:t>
      </w:r>
      <w:r w:rsidRPr="00B15411">
        <w:rPr>
          <w:sz w:val="22"/>
          <w:szCs w:val="22"/>
        </w:rPr>
        <w:t>Stationary Source) is defined as follows:</w:t>
      </w:r>
    </w:p>
    <w:p w:rsidR="00617D4C" w:rsidRPr="00F3241A" w:rsidRDefault="00617D4C" w:rsidP="00617D4C">
      <w:pPr>
        <w:pStyle w:val="ListParagraph"/>
        <w:numPr>
          <w:ilvl w:val="0"/>
          <w:numId w:val="7"/>
        </w:numPr>
        <w:tabs>
          <w:tab w:val="left" w:pos="761"/>
        </w:tabs>
        <w:kinsoku w:val="0"/>
        <w:overflowPunct w:val="0"/>
        <w:autoSpaceDE w:val="0"/>
        <w:autoSpaceDN w:val="0"/>
        <w:adjustRightInd w:val="0"/>
        <w:spacing w:after="120"/>
        <w:ind w:left="360" w:right="117"/>
        <w:contextualSpacing w:val="0"/>
        <w:rPr>
          <w:sz w:val="22"/>
          <w:szCs w:val="22"/>
        </w:rPr>
      </w:pPr>
      <w:r w:rsidRPr="00F3241A">
        <w:rPr>
          <w:sz w:val="22"/>
          <w:szCs w:val="22"/>
        </w:rPr>
        <w:t>Any</w:t>
      </w:r>
      <w:r w:rsidRPr="00F3241A">
        <w:rPr>
          <w:spacing w:val="1"/>
          <w:sz w:val="22"/>
          <w:szCs w:val="22"/>
        </w:rPr>
        <w:t xml:space="preserve"> </w:t>
      </w:r>
      <w:r w:rsidRPr="00F3241A">
        <w:rPr>
          <w:sz w:val="22"/>
          <w:szCs w:val="22"/>
        </w:rPr>
        <w:t>physical</w:t>
      </w:r>
      <w:r w:rsidRPr="00F3241A">
        <w:rPr>
          <w:spacing w:val="3"/>
          <w:sz w:val="22"/>
          <w:szCs w:val="22"/>
        </w:rPr>
        <w:t xml:space="preserve"> </w:t>
      </w:r>
      <w:r w:rsidRPr="00F3241A">
        <w:rPr>
          <w:spacing w:val="-1"/>
          <w:sz w:val="22"/>
          <w:szCs w:val="22"/>
        </w:rPr>
        <w:t>change</w:t>
      </w:r>
      <w:r w:rsidRPr="00F3241A">
        <w:rPr>
          <w:spacing w:val="6"/>
          <w:sz w:val="22"/>
          <w:szCs w:val="22"/>
        </w:rPr>
        <w:t xml:space="preserve"> </w:t>
      </w:r>
      <w:r w:rsidRPr="00F3241A">
        <w:rPr>
          <w:spacing w:val="-1"/>
          <w:sz w:val="22"/>
          <w:szCs w:val="22"/>
        </w:rPr>
        <w:t>in</w:t>
      </w:r>
      <w:r w:rsidRPr="00F3241A">
        <w:rPr>
          <w:spacing w:val="4"/>
          <w:sz w:val="22"/>
          <w:szCs w:val="22"/>
        </w:rPr>
        <w:t xml:space="preserve"> </w:t>
      </w:r>
      <w:r w:rsidRPr="00F3241A">
        <w:rPr>
          <w:sz w:val="22"/>
          <w:szCs w:val="22"/>
        </w:rPr>
        <w:t>or</w:t>
      </w:r>
      <w:r w:rsidRPr="00F3241A">
        <w:rPr>
          <w:spacing w:val="3"/>
          <w:sz w:val="22"/>
          <w:szCs w:val="22"/>
        </w:rPr>
        <w:t xml:space="preserve"> </w:t>
      </w:r>
      <w:r w:rsidRPr="00F3241A">
        <w:rPr>
          <w:spacing w:val="-1"/>
          <w:sz w:val="22"/>
          <w:szCs w:val="22"/>
        </w:rPr>
        <w:t>change</w:t>
      </w:r>
      <w:r w:rsidRPr="00F3241A">
        <w:rPr>
          <w:spacing w:val="6"/>
          <w:sz w:val="22"/>
          <w:szCs w:val="22"/>
        </w:rPr>
        <w:t xml:space="preserve"> </w:t>
      </w:r>
      <w:r w:rsidRPr="00F3241A">
        <w:rPr>
          <w:spacing w:val="1"/>
          <w:sz w:val="22"/>
          <w:szCs w:val="22"/>
        </w:rPr>
        <w:t>in</w:t>
      </w:r>
      <w:r w:rsidRPr="00F3241A">
        <w:rPr>
          <w:spacing w:val="2"/>
          <w:sz w:val="22"/>
          <w:szCs w:val="22"/>
        </w:rPr>
        <w:t xml:space="preserve"> </w:t>
      </w:r>
      <w:r w:rsidRPr="00F3241A">
        <w:rPr>
          <w:sz w:val="22"/>
          <w:szCs w:val="22"/>
        </w:rPr>
        <w:t>the</w:t>
      </w:r>
      <w:r w:rsidRPr="00F3241A">
        <w:rPr>
          <w:spacing w:val="5"/>
          <w:sz w:val="22"/>
          <w:szCs w:val="22"/>
        </w:rPr>
        <w:t xml:space="preserve"> </w:t>
      </w:r>
      <w:r w:rsidRPr="00F3241A">
        <w:rPr>
          <w:spacing w:val="-1"/>
          <w:sz w:val="22"/>
          <w:szCs w:val="22"/>
        </w:rPr>
        <w:t>method</w:t>
      </w:r>
      <w:r w:rsidRPr="00F3241A">
        <w:rPr>
          <w:spacing w:val="4"/>
          <w:sz w:val="22"/>
          <w:szCs w:val="22"/>
        </w:rPr>
        <w:t xml:space="preserve"> </w:t>
      </w:r>
      <w:r w:rsidRPr="00F3241A">
        <w:rPr>
          <w:sz w:val="22"/>
          <w:szCs w:val="22"/>
        </w:rPr>
        <w:t>of</w:t>
      </w:r>
      <w:r w:rsidRPr="00F3241A">
        <w:rPr>
          <w:spacing w:val="4"/>
          <w:sz w:val="22"/>
          <w:szCs w:val="22"/>
        </w:rPr>
        <w:t xml:space="preserve"> </w:t>
      </w:r>
      <w:r w:rsidRPr="00F3241A">
        <w:rPr>
          <w:sz w:val="22"/>
          <w:szCs w:val="22"/>
        </w:rPr>
        <w:t>operation</w:t>
      </w:r>
      <w:r w:rsidRPr="00F3241A">
        <w:rPr>
          <w:spacing w:val="2"/>
          <w:sz w:val="22"/>
          <w:szCs w:val="22"/>
        </w:rPr>
        <w:t xml:space="preserve"> </w:t>
      </w:r>
      <w:r w:rsidRPr="00F3241A">
        <w:rPr>
          <w:sz w:val="22"/>
          <w:szCs w:val="22"/>
        </w:rPr>
        <w:t>of</w:t>
      </w:r>
      <w:r w:rsidRPr="00F3241A">
        <w:rPr>
          <w:spacing w:val="4"/>
          <w:sz w:val="22"/>
          <w:szCs w:val="22"/>
        </w:rPr>
        <w:t xml:space="preserve"> </w:t>
      </w:r>
      <w:r w:rsidRPr="00F3241A">
        <w:rPr>
          <w:sz w:val="22"/>
          <w:szCs w:val="22"/>
        </w:rPr>
        <w:t>a</w:t>
      </w:r>
      <w:r w:rsidRPr="00F3241A">
        <w:rPr>
          <w:spacing w:val="5"/>
          <w:sz w:val="22"/>
          <w:szCs w:val="22"/>
        </w:rPr>
        <w:t xml:space="preserve"> </w:t>
      </w:r>
      <w:r w:rsidRPr="00F3241A">
        <w:rPr>
          <w:sz w:val="22"/>
          <w:szCs w:val="22"/>
        </w:rPr>
        <w:t>major</w:t>
      </w:r>
      <w:r w:rsidRPr="00F3241A">
        <w:rPr>
          <w:spacing w:val="4"/>
          <w:sz w:val="22"/>
          <w:szCs w:val="22"/>
        </w:rPr>
        <w:t xml:space="preserve"> </w:t>
      </w:r>
      <w:r w:rsidRPr="00F3241A">
        <w:rPr>
          <w:spacing w:val="-1"/>
          <w:sz w:val="22"/>
          <w:szCs w:val="22"/>
        </w:rPr>
        <w:t>stationary</w:t>
      </w:r>
      <w:r w:rsidRPr="00F3241A">
        <w:rPr>
          <w:spacing w:val="4"/>
          <w:sz w:val="22"/>
          <w:szCs w:val="22"/>
        </w:rPr>
        <w:t xml:space="preserve"> </w:t>
      </w:r>
      <w:r w:rsidRPr="00F3241A">
        <w:rPr>
          <w:spacing w:val="-1"/>
          <w:sz w:val="22"/>
          <w:szCs w:val="22"/>
        </w:rPr>
        <w:t>source</w:t>
      </w:r>
      <w:r w:rsidRPr="00F3241A">
        <w:rPr>
          <w:spacing w:val="2"/>
          <w:sz w:val="22"/>
          <w:szCs w:val="22"/>
        </w:rPr>
        <w:t xml:space="preserve"> </w:t>
      </w:r>
      <w:r w:rsidRPr="00F3241A">
        <w:rPr>
          <w:sz w:val="22"/>
          <w:szCs w:val="22"/>
        </w:rPr>
        <w:t>that</w:t>
      </w:r>
      <w:r w:rsidRPr="00F3241A">
        <w:rPr>
          <w:spacing w:val="5"/>
          <w:sz w:val="22"/>
          <w:szCs w:val="22"/>
        </w:rPr>
        <w:t xml:space="preserve"> </w:t>
      </w:r>
      <w:r w:rsidRPr="00F3241A">
        <w:rPr>
          <w:spacing w:val="-1"/>
          <w:sz w:val="22"/>
          <w:szCs w:val="22"/>
        </w:rPr>
        <w:t>would</w:t>
      </w:r>
      <w:r w:rsidRPr="00F3241A">
        <w:rPr>
          <w:spacing w:val="4"/>
          <w:sz w:val="22"/>
          <w:szCs w:val="22"/>
        </w:rPr>
        <w:t xml:space="preserve"> </w:t>
      </w:r>
      <w:r w:rsidRPr="00F3241A">
        <w:rPr>
          <w:spacing w:val="-1"/>
          <w:sz w:val="22"/>
          <w:szCs w:val="22"/>
        </w:rPr>
        <w:t>result in</w:t>
      </w:r>
      <w:r w:rsidRPr="00F3241A">
        <w:rPr>
          <w:spacing w:val="1"/>
          <w:sz w:val="22"/>
          <w:szCs w:val="22"/>
        </w:rPr>
        <w:t xml:space="preserve"> </w:t>
      </w:r>
      <w:r w:rsidRPr="00F3241A">
        <w:rPr>
          <w:sz w:val="22"/>
          <w:szCs w:val="22"/>
        </w:rPr>
        <w:t>a</w:t>
      </w:r>
      <w:r w:rsidRPr="00F3241A">
        <w:rPr>
          <w:spacing w:val="2"/>
          <w:sz w:val="22"/>
          <w:szCs w:val="22"/>
        </w:rPr>
        <w:t xml:space="preserve"> </w:t>
      </w:r>
      <w:r w:rsidRPr="00F3241A">
        <w:rPr>
          <w:spacing w:val="-1"/>
          <w:sz w:val="22"/>
          <w:szCs w:val="22"/>
        </w:rPr>
        <w:t>significant</w:t>
      </w:r>
      <w:r w:rsidRPr="00F3241A">
        <w:rPr>
          <w:spacing w:val="3"/>
          <w:sz w:val="22"/>
          <w:szCs w:val="22"/>
        </w:rPr>
        <w:t xml:space="preserve"> </w:t>
      </w:r>
      <w:r w:rsidRPr="00F3241A">
        <w:rPr>
          <w:spacing w:val="-1"/>
          <w:sz w:val="22"/>
          <w:szCs w:val="22"/>
        </w:rPr>
        <w:t>emissions</w:t>
      </w:r>
      <w:r w:rsidRPr="00F3241A">
        <w:rPr>
          <w:spacing w:val="1"/>
          <w:sz w:val="22"/>
          <w:szCs w:val="22"/>
        </w:rPr>
        <w:t xml:space="preserve"> </w:t>
      </w:r>
      <w:r w:rsidRPr="00F3241A">
        <w:rPr>
          <w:spacing w:val="-1"/>
          <w:sz w:val="22"/>
          <w:szCs w:val="22"/>
        </w:rPr>
        <w:t>increase</w:t>
      </w:r>
      <w:r w:rsidRPr="00F3241A">
        <w:rPr>
          <w:spacing w:val="2"/>
          <w:sz w:val="22"/>
          <w:szCs w:val="22"/>
        </w:rPr>
        <w:t xml:space="preserve"> </w:t>
      </w:r>
      <w:r w:rsidRPr="00F3241A">
        <w:rPr>
          <w:sz w:val="22"/>
          <w:szCs w:val="22"/>
        </w:rPr>
        <w:t>of</w:t>
      </w:r>
      <w:r w:rsidRPr="00F3241A">
        <w:rPr>
          <w:spacing w:val="2"/>
          <w:sz w:val="22"/>
          <w:szCs w:val="22"/>
        </w:rPr>
        <w:t xml:space="preserve"> </w:t>
      </w:r>
      <w:r w:rsidRPr="00F3241A">
        <w:rPr>
          <w:sz w:val="22"/>
          <w:szCs w:val="22"/>
        </w:rPr>
        <w:t>a</w:t>
      </w:r>
      <w:r w:rsidRPr="00F3241A">
        <w:rPr>
          <w:spacing w:val="2"/>
          <w:sz w:val="22"/>
          <w:szCs w:val="22"/>
        </w:rPr>
        <w:t xml:space="preserve"> </w:t>
      </w:r>
      <w:r w:rsidRPr="00F3241A">
        <w:rPr>
          <w:sz w:val="22"/>
          <w:szCs w:val="22"/>
        </w:rPr>
        <w:t>PSD</w:t>
      </w:r>
      <w:r w:rsidRPr="00F3241A">
        <w:rPr>
          <w:spacing w:val="3"/>
          <w:sz w:val="22"/>
          <w:szCs w:val="22"/>
        </w:rPr>
        <w:t xml:space="preserve"> </w:t>
      </w:r>
      <w:r w:rsidRPr="00F3241A">
        <w:rPr>
          <w:spacing w:val="-1"/>
          <w:sz w:val="22"/>
          <w:szCs w:val="22"/>
        </w:rPr>
        <w:t>pollutant</w:t>
      </w:r>
      <w:r w:rsidRPr="00F3241A">
        <w:rPr>
          <w:spacing w:val="2"/>
          <w:sz w:val="22"/>
          <w:szCs w:val="22"/>
        </w:rPr>
        <w:t xml:space="preserve"> </w:t>
      </w:r>
      <w:r w:rsidRPr="005E756E">
        <w:rPr>
          <w:b/>
          <w:i/>
          <w:spacing w:val="-1"/>
          <w:sz w:val="22"/>
          <w:szCs w:val="22"/>
        </w:rPr>
        <w:t>and</w:t>
      </w:r>
      <w:r w:rsidRPr="00F3241A">
        <w:rPr>
          <w:spacing w:val="3"/>
          <w:sz w:val="22"/>
          <w:szCs w:val="22"/>
        </w:rPr>
        <w:t xml:space="preserve"> </w:t>
      </w:r>
      <w:r w:rsidRPr="00F3241A">
        <w:rPr>
          <w:sz w:val="22"/>
          <w:szCs w:val="22"/>
        </w:rPr>
        <w:t>a</w:t>
      </w:r>
      <w:r w:rsidRPr="00F3241A">
        <w:rPr>
          <w:spacing w:val="2"/>
          <w:sz w:val="22"/>
          <w:szCs w:val="22"/>
        </w:rPr>
        <w:t xml:space="preserve"> </w:t>
      </w:r>
      <w:r w:rsidRPr="00F3241A">
        <w:rPr>
          <w:spacing w:val="-1"/>
          <w:sz w:val="22"/>
          <w:szCs w:val="22"/>
        </w:rPr>
        <w:t>significant</w:t>
      </w:r>
      <w:r w:rsidRPr="00F3241A">
        <w:rPr>
          <w:spacing w:val="3"/>
          <w:sz w:val="22"/>
          <w:szCs w:val="22"/>
        </w:rPr>
        <w:t xml:space="preserve"> </w:t>
      </w:r>
      <w:r w:rsidRPr="00F3241A">
        <w:rPr>
          <w:spacing w:val="-1"/>
          <w:sz w:val="22"/>
          <w:szCs w:val="22"/>
        </w:rPr>
        <w:t>net</w:t>
      </w:r>
      <w:r w:rsidRPr="00F3241A">
        <w:rPr>
          <w:spacing w:val="2"/>
          <w:sz w:val="22"/>
          <w:szCs w:val="22"/>
        </w:rPr>
        <w:t xml:space="preserve"> </w:t>
      </w:r>
      <w:r w:rsidRPr="00F3241A">
        <w:rPr>
          <w:spacing w:val="-1"/>
          <w:sz w:val="22"/>
          <w:szCs w:val="22"/>
        </w:rPr>
        <w:t>emissions</w:t>
      </w:r>
      <w:r w:rsidRPr="00F3241A">
        <w:rPr>
          <w:spacing w:val="2"/>
          <w:sz w:val="22"/>
          <w:szCs w:val="22"/>
        </w:rPr>
        <w:t xml:space="preserve"> </w:t>
      </w:r>
      <w:r w:rsidRPr="00F3241A">
        <w:rPr>
          <w:sz w:val="22"/>
          <w:szCs w:val="22"/>
        </w:rPr>
        <w:t>increase</w:t>
      </w:r>
      <w:r w:rsidRPr="00F3241A">
        <w:rPr>
          <w:spacing w:val="2"/>
          <w:sz w:val="22"/>
          <w:szCs w:val="22"/>
        </w:rPr>
        <w:t xml:space="preserve"> </w:t>
      </w:r>
      <w:r w:rsidRPr="00F3241A">
        <w:rPr>
          <w:sz w:val="22"/>
          <w:szCs w:val="22"/>
        </w:rPr>
        <w:t>of</w:t>
      </w:r>
      <w:r w:rsidRPr="00F3241A">
        <w:rPr>
          <w:spacing w:val="1"/>
          <w:sz w:val="22"/>
          <w:szCs w:val="22"/>
        </w:rPr>
        <w:t xml:space="preserve"> </w:t>
      </w:r>
      <w:r w:rsidRPr="00F3241A">
        <w:rPr>
          <w:spacing w:val="-1"/>
          <w:sz w:val="22"/>
          <w:szCs w:val="22"/>
        </w:rPr>
        <w:t>that</w:t>
      </w:r>
      <w:r w:rsidRPr="00F3241A">
        <w:rPr>
          <w:spacing w:val="3"/>
          <w:sz w:val="22"/>
          <w:szCs w:val="22"/>
        </w:rPr>
        <w:t xml:space="preserve"> </w:t>
      </w:r>
      <w:r w:rsidRPr="00F3241A">
        <w:rPr>
          <w:spacing w:val="-1"/>
          <w:sz w:val="22"/>
          <w:szCs w:val="22"/>
        </w:rPr>
        <w:t>pollutant</w:t>
      </w:r>
      <w:r w:rsidRPr="00F3241A">
        <w:rPr>
          <w:spacing w:val="2"/>
          <w:sz w:val="22"/>
          <w:szCs w:val="22"/>
        </w:rPr>
        <w:t xml:space="preserve"> </w:t>
      </w:r>
      <w:r w:rsidRPr="00F3241A">
        <w:rPr>
          <w:sz w:val="22"/>
          <w:szCs w:val="22"/>
        </w:rPr>
        <w:t>from</w:t>
      </w:r>
      <w:r>
        <w:rPr>
          <w:spacing w:val="101"/>
          <w:w w:val="99"/>
          <w:sz w:val="22"/>
          <w:szCs w:val="22"/>
        </w:rPr>
        <w:t xml:space="preserve"> </w:t>
      </w:r>
      <w:r w:rsidRPr="00F3241A">
        <w:rPr>
          <w:spacing w:val="-1"/>
          <w:sz w:val="22"/>
          <w:szCs w:val="22"/>
        </w:rPr>
        <w:t>the</w:t>
      </w:r>
      <w:r w:rsidRPr="00F3241A">
        <w:rPr>
          <w:spacing w:val="-5"/>
          <w:sz w:val="22"/>
          <w:szCs w:val="22"/>
        </w:rPr>
        <w:t xml:space="preserve"> </w:t>
      </w:r>
      <w:r w:rsidRPr="00F3241A">
        <w:rPr>
          <w:spacing w:val="-1"/>
          <w:sz w:val="22"/>
          <w:szCs w:val="22"/>
        </w:rPr>
        <w:t>major</w:t>
      </w:r>
      <w:r w:rsidRPr="00F3241A">
        <w:rPr>
          <w:spacing w:val="-6"/>
          <w:sz w:val="22"/>
          <w:szCs w:val="22"/>
        </w:rPr>
        <w:t xml:space="preserve"> </w:t>
      </w:r>
      <w:r w:rsidRPr="00F3241A">
        <w:rPr>
          <w:spacing w:val="-1"/>
          <w:sz w:val="22"/>
          <w:szCs w:val="22"/>
        </w:rPr>
        <w:t>stationary</w:t>
      </w:r>
      <w:r w:rsidRPr="00F3241A">
        <w:rPr>
          <w:spacing w:val="-7"/>
          <w:sz w:val="22"/>
          <w:szCs w:val="22"/>
        </w:rPr>
        <w:t xml:space="preserve"> </w:t>
      </w:r>
      <w:r w:rsidRPr="00F3241A">
        <w:rPr>
          <w:spacing w:val="-1"/>
          <w:sz w:val="22"/>
          <w:szCs w:val="22"/>
        </w:rPr>
        <w:t>source.</w:t>
      </w:r>
      <w:r>
        <w:rPr>
          <w:spacing w:val="-1"/>
          <w:sz w:val="22"/>
          <w:szCs w:val="22"/>
        </w:rPr>
        <w:t xml:space="preserve">  (Refer to SERs in </w:t>
      </w:r>
      <w:r w:rsidR="00BA5A58">
        <w:fldChar w:fldCharType="begin"/>
      </w:r>
      <w:r w:rsidR="00BA5A58">
        <w:instrText xml:space="preserve"> REF _Ref404613265 \h  \* MERGEFORMAT </w:instrText>
      </w:r>
      <w:r w:rsidR="00BA5A58">
        <w:fldChar w:fldCharType="separate"/>
      </w:r>
      <w:r w:rsidR="00A834F3" w:rsidRPr="00A834F3">
        <w:rPr>
          <w:b/>
          <w:sz w:val="22"/>
          <w:szCs w:val="22"/>
        </w:rPr>
        <w:t>Table 1</w:t>
      </w:r>
      <w:r w:rsidR="00BA5A58">
        <w:fldChar w:fldCharType="end"/>
      </w:r>
      <w:r>
        <w:rPr>
          <w:spacing w:val="-1"/>
          <w:sz w:val="22"/>
          <w:szCs w:val="22"/>
        </w:rPr>
        <w:t xml:space="preserve"> above) </w:t>
      </w:r>
    </w:p>
    <w:p w:rsidR="00617D4C" w:rsidRPr="00B15411" w:rsidRDefault="00617D4C" w:rsidP="00617D4C">
      <w:pPr>
        <w:pStyle w:val="ListParagraph"/>
        <w:numPr>
          <w:ilvl w:val="0"/>
          <w:numId w:val="7"/>
        </w:numPr>
        <w:tabs>
          <w:tab w:val="left" w:pos="773"/>
        </w:tabs>
        <w:kinsoku w:val="0"/>
        <w:overflowPunct w:val="0"/>
        <w:autoSpaceDE w:val="0"/>
        <w:autoSpaceDN w:val="0"/>
        <w:adjustRightInd w:val="0"/>
        <w:spacing w:after="120"/>
        <w:ind w:left="360" w:right="121"/>
        <w:contextualSpacing w:val="0"/>
        <w:rPr>
          <w:sz w:val="22"/>
          <w:szCs w:val="22"/>
        </w:rPr>
      </w:pPr>
      <w:r w:rsidRPr="00B15411">
        <w:rPr>
          <w:spacing w:val="-1"/>
          <w:sz w:val="22"/>
          <w:szCs w:val="22"/>
        </w:rPr>
        <w:t>Any</w:t>
      </w:r>
      <w:r w:rsidRPr="00B15411">
        <w:rPr>
          <w:spacing w:val="2"/>
          <w:sz w:val="22"/>
          <w:szCs w:val="22"/>
        </w:rPr>
        <w:t xml:space="preserve"> </w:t>
      </w:r>
      <w:r w:rsidRPr="00B15411">
        <w:rPr>
          <w:spacing w:val="-1"/>
          <w:sz w:val="22"/>
          <w:szCs w:val="22"/>
        </w:rPr>
        <w:t>significant</w:t>
      </w:r>
      <w:r w:rsidRPr="00B15411">
        <w:rPr>
          <w:spacing w:val="4"/>
          <w:sz w:val="22"/>
          <w:szCs w:val="22"/>
        </w:rPr>
        <w:t xml:space="preserve"> </w:t>
      </w:r>
      <w:r w:rsidRPr="00B15411">
        <w:rPr>
          <w:spacing w:val="-1"/>
          <w:sz w:val="22"/>
          <w:szCs w:val="22"/>
        </w:rPr>
        <w:t>emissions</w:t>
      </w:r>
      <w:r w:rsidRPr="00B15411">
        <w:rPr>
          <w:spacing w:val="6"/>
          <w:sz w:val="22"/>
          <w:szCs w:val="22"/>
        </w:rPr>
        <w:t xml:space="preserve"> </w:t>
      </w:r>
      <w:r w:rsidRPr="00B15411">
        <w:rPr>
          <w:spacing w:val="-1"/>
          <w:sz w:val="22"/>
          <w:szCs w:val="22"/>
        </w:rPr>
        <w:t>increase</w:t>
      </w:r>
      <w:r w:rsidRPr="00B15411">
        <w:rPr>
          <w:spacing w:val="4"/>
          <w:sz w:val="22"/>
          <w:szCs w:val="22"/>
        </w:rPr>
        <w:t xml:space="preserve"> </w:t>
      </w:r>
      <w:r w:rsidRPr="00B15411">
        <w:rPr>
          <w:sz w:val="22"/>
          <w:szCs w:val="22"/>
        </w:rPr>
        <w:t>from</w:t>
      </w:r>
      <w:r w:rsidRPr="00B15411">
        <w:rPr>
          <w:spacing w:val="1"/>
          <w:sz w:val="22"/>
          <w:szCs w:val="22"/>
        </w:rPr>
        <w:t xml:space="preserve"> </w:t>
      </w:r>
      <w:r w:rsidRPr="00B15411">
        <w:rPr>
          <w:sz w:val="22"/>
          <w:szCs w:val="22"/>
        </w:rPr>
        <w:t>any</w:t>
      </w:r>
      <w:r w:rsidRPr="00B15411">
        <w:rPr>
          <w:spacing w:val="1"/>
          <w:sz w:val="22"/>
          <w:szCs w:val="22"/>
        </w:rPr>
        <w:t xml:space="preserve"> </w:t>
      </w:r>
      <w:r w:rsidRPr="00B15411">
        <w:rPr>
          <w:sz w:val="22"/>
          <w:szCs w:val="22"/>
        </w:rPr>
        <w:t>emissions</w:t>
      </w:r>
      <w:r w:rsidRPr="00B15411">
        <w:rPr>
          <w:spacing w:val="4"/>
          <w:sz w:val="22"/>
          <w:szCs w:val="22"/>
        </w:rPr>
        <w:t xml:space="preserve"> </w:t>
      </w:r>
      <w:r w:rsidRPr="00B15411">
        <w:rPr>
          <w:spacing w:val="-1"/>
          <w:sz w:val="22"/>
          <w:szCs w:val="22"/>
        </w:rPr>
        <w:t>units</w:t>
      </w:r>
      <w:r w:rsidRPr="00B15411">
        <w:rPr>
          <w:spacing w:val="4"/>
          <w:sz w:val="22"/>
          <w:szCs w:val="22"/>
        </w:rPr>
        <w:t xml:space="preserve"> </w:t>
      </w:r>
      <w:r w:rsidRPr="00B15411">
        <w:rPr>
          <w:sz w:val="22"/>
          <w:szCs w:val="22"/>
        </w:rPr>
        <w:t>or</w:t>
      </w:r>
      <w:r w:rsidRPr="00B15411">
        <w:rPr>
          <w:spacing w:val="3"/>
          <w:sz w:val="22"/>
          <w:szCs w:val="22"/>
        </w:rPr>
        <w:t xml:space="preserve"> </w:t>
      </w:r>
      <w:r w:rsidRPr="00B15411">
        <w:rPr>
          <w:spacing w:val="-1"/>
          <w:sz w:val="22"/>
          <w:szCs w:val="22"/>
        </w:rPr>
        <w:t>net</w:t>
      </w:r>
      <w:r w:rsidRPr="00B15411">
        <w:rPr>
          <w:spacing w:val="3"/>
          <w:sz w:val="22"/>
          <w:szCs w:val="22"/>
        </w:rPr>
        <w:t xml:space="preserve"> </w:t>
      </w:r>
      <w:r w:rsidRPr="00B15411">
        <w:rPr>
          <w:spacing w:val="-1"/>
          <w:sz w:val="22"/>
          <w:szCs w:val="22"/>
        </w:rPr>
        <w:t>emissions</w:t>
      </w:r>
      <w:r w:rsidRPr="00B15411">
        <w:rPr>
          <w:spacing w:val="4"/>
          <w:sz w:val="22"/>
          <w:szCs w:val="22"/>
        </w:rPr>
        <w:t xml:space="preserve"> </w:t>
      </w:r>
      <w:r w:rsidRPr="00B15411">
        <w:rPr>
          <w:spacing w:val="-1"/>
          <w:sz w:val="22"/>
          <w:szCs w:val="22"/>
        </w:rPr>
        <w:t>increase</w:t>
      </w:r>
      <w:r w:rsidRPr="00B15411">
        <w:rPr>
          <w:spacing w:val="5"/>
          <w:sz w:val="22"/>
          <w:szCs w:val="22"/>
        </w:rPr>
        <w:t xml:space="preserve"> </w:t>
      </w:r>
      <w:r w:rsidRPr="00B15411">
        <w:rPr>
          <w:sz w:val="22"/>
          <w:szCs w:val="22"/>
        </w:rPr>
        <w:t>at</w:t>
      </w:r>
      <w:r w:rsidRPr="00B15411">
        <w:rPr>
          <w:spacing w:val="2"/>
          <w:sz w:val="22"/>
          <w:szCs w:val="22"/>
        </w:rPr>
        <w:t xml:space="preserve"> </w:t>
      </w:r>
      <w:r w:rsidRPr="00B15411">
        <w:rPr>
          <w:sz w:val="22"/>
          <w:szCs w:val="22"/>
        </w:rPr>
        <w:t>a</w:t>
      </w:r>
      <w:r w:rsidRPr="00B15411">
        <w:rPr>
          <w:spacing w:val="4"/>
          <w:sz w:val="22"/>
          <w:szCs w:val="22"/>
        </w:rPr>
        <w:t xml:space="preserve"> </w:t>
      </w:r>
      <w:r w:rsidRPr="00B15411">
        <w:rPr>
          <w:sz w:val="22"/>
          <w:szCs w:val="22"/>
        </w:rPr>
        <w:t>major</w:t>
      </w:r>
      <w:r w:rsidRPr="00B15411">
        <w:rPr>
          <w:spacing w:val="3"/>
          <w:sz w:val="22"/>
          <w:szCs w:val="22"/>
        </w:rPr>
        <w:t xml:space="preserve"> </w:t>
      </w:r>
      <w:r w:rsidRPr="00B15411">
        <w:rPr>
          <w:spacing w:val="-1"/>
          <w:sz w:val="22"/>
          <w:szCs w:val="22"/>
        </w:rPr>
        <w:t>stationary</w:t>
      </w:r>
      <w:r w:rsidRPr="00B15411">
        <w:rPr>
          <w:spacing w:val="93"/>
          <w:w w:val="99"/>
          <w:sz w:val="22"/>
          <w:szCs w:val="22"/>
        </w:rPr>
        <w:t xml:space="preserve"> </w:t>
      </w:r>
      <w:r w:rsidRPr="00B15411">
        <w:rPr>
          <w:spacing w:val="-1"/>
          <w:sz w:val="22"/>
          <w:szCs w:val="22"/>
        </w:rPr>
        <w:t>source</w:t>
      </w:r>
      <w:r w:rsidRPr="00B15411">
        <w:rPr>
          <w:spacing w:val="-6"/>
          <w:sz w:val="22"/>
          <w:szCs w:val="22"/>
        </w:rPr>
        <w:t xml:space="preserve"> </w:t>
      </w:r>
      <w:r w:rsidRPr="00B15411">
        <w:rPr>
          <w:spacing w:val="-1"/>
          <w:sz w:val="22"/>
          <w:szCs w:val="22"/>
        </w:rPr>
        <w:t>that</w:t>
      </w:r>
      <w:r w:rsidRPr="00B15411">
        <w:rPr>
          <w:spacing w:val="-5"/>
          <w:sz w:val="22"/>
          <w:szCs w:val="22"/>
        </w:rPr>
        <w:t xml:space="preserve"> </w:t>
      </w:r>
      <w:r w:rsidRPr="00B15411">
        <w:rPr>
          <w:spacing w:val="1"/>
          <w:sz w:val="22"/>
          <w:szCs w:val="22"/>
        </w:rPr>
        <w:t>is</w:t>
      </w:r>
      <w:r w:rsidRPr="00B15411">
        <w:rPr>
          <w:spacing w:val="-6"/>
          <w:sz w:val="22"/>
          <w:szCs w:val="22"/>
        </w:rPr>
        <w:t xml:space="preserve"> </w:t>
      </w:r>
      <w:r w:rsidRPr="00B15411">
        <w:rPr>
          <w:spacing w:val="-1"/>
          <w:sz w:val="22"/>
          <w:szCs w:val="22"/>
        </w:rPr>
        <w:t>significant</w:t>
      </w:r>
      <w:r w:rsidRPr="00B15411">
        <w:rPr>
          <w:spacing w:val="-4"/>
          <w:sz w:val="22"/>
          <w:szCs w:val="22"/>
        </w:rPr>
        <w:t xml:space="preserve"> </w:t>
      </w:r>
      <w:r w:rsidRPr="00B15411">
        <w:rPr>
          <w:spacing w:val="-1"/>
          <w:sz w:val="22"/>
          <w:szCs w:val="22"/>
        </w:rPr>
        <w:t>for</w:t>
      </w:r>
      <w:r w:rsidRPr="00B15411">
        <w:rPr>
          <w:spacing w:val="-4"/>
          <w:sz w:val="22"/>
          <w:szCs w:val="22"/>
        </w:rPr>
        <w:t xml:space="preserve"> </w:t>
      </w:r>
      <w:r w:rsidRPr="00B15411">
        <w:rPr>
          <w:spacing w:val="-1"/>
          <w:sz w:val="22"/>
          <w:szCs w:val="22"/>
        </w:rPr>
        <w:t>volatile</w:t>
      </w:r>
      <w:r w:rsidRPr="00B15411">
        <w:rPr>
          <w:spacing w:val="-6"/>
          <w:sz w:val="22"/>
          <w:szCs w:val="22"/>
        </w:rPr>
        <w:t xml:space="preserve"> </w:t>
      </w:r>
      <w:r w:rsidRPr="00B15411">
        <w:rPr>
          <w:spacing w:val="-1"/>
          <w:sz w:val="22"/>
          <w:szCs w:val="22"/>
        </w:rPr>
        <w:t>organic</w:t>
      </w:r>
      <w:r w:rsidRPr="00B15411">
        <w:rPr>
          <w:spacing w:val="-5"/>
          <w:sz w:val="22"/>
          <w:szCs w:val="22"/>
        </w:rPr>
        <w:t xml:space="preserve"> </w:t>
      </w:r>
      <w:r w:rsidRPr="00B15411">
        <w:rPr>
          <w:sz w:val="22"/>
          <w:szCs w:val="22"/>
        </w:rPr>
        <w:t>compounds</w:t>
      </w:r>
      <w:r w:rsidRPr="00B15411">
        <w:rPr>
          <w:spacing w:val="-6"/>
          <w:sz w:val="22"/>
          <w:szCs w:val="22"/>
        </w:rPr>
        <w:t xml:space="preserve"> </w:t>
      </w:r>
      <w:r w:rsidRPr="00B15411">
        <w:rPr>
          <w:sz w:val="22"/>
          <w:szCs w:val="22"/>
        </w:rPr>
        <w:t>or</w:t>
      </w:r>
      <w:r w:rsidRPr="00B15411">
        <w:rPr>
          <w:spacing w:val="-5"/>
          <w:sz w:val="22"/>
          <w:szCs w:val="22"/>
        </w:rPr>
        <w:t xml:space="preserve"> </w:t>
      </w:r>
      <w:r w:rsidRPr="00B15411">
        <w:rPr>
          <w:spacing w:val="-1"/>
          <w:sz w:val="22"/>
          <w:szCs w:val="22"/>
        </w:rPr>
        <w:t>nitrogen</w:t>
      </w:r>
      <w:r w:rsidRPr="00B15411">
        <w:rPr>
          <w:spacing w:val="-6"/>
          <w:sz w:val="22"/>
          <w:szCs w:val="22"/>
        </w:rPr>
        <w:t xml:space="preserve"> </w:t>
      </w:r>
      <w:r w:rsidRPr="00B15411">
        <w:rPr>
          <w:spacing w:val="-1"/>
          <w:sz w:val="22"/>
          <w:szCs w:val="22"/>
        </w:rPr>
        <w:t>oxides</w:t>
      </w:r>
      <w:r w:rsidRPr="00B15411">
        <w:rPr>
          <w:spacing w:val="-6"/>
          <w:sz w:val="22"/>
          <w:szCs w:val="22"/>
        </w:rPr>
        <w:t xml:space="preserve"> </w:t>
      </w:r>
      <w:r w:rsidRPr="00B15411">
        <w:rPr>
          <w:spacing w:val="-1"/>
          <w:sz w:val="22"/>
          <w:szCs w:val="22"/>
        </w:rPr>
        <w:t>shall</w:t>
      </w:r>
      <w:r w:rsidRPr="00B15411">
        <w:rPr>
          <w:spacing w:val="-5"/>
          <w:sz w:val="22"/>
          <w:szCs w:val="22"/>
        </w:rPr>
        <w:t xml:space="preserve"> </w:t>
      </w:r>
      <w:r w:rsidRPr="00B15411">
        <w:rPr>
          <w:sz w:val="22"/>
          <w:szCs w:val="22"/>
        </w:rPr>
        <w:t>be</w:t>
      </w:r>
      <w:r w:rsidRPr="00B15411">
        <w:rPr>
          <w:spacing w:val="-6"/>
          <w:sz w:val="22"/>
          <w:szCs w:val="22"/>
        </w:rPr>
        <w:t xml:space="preserve"> </w:t>
      </w:r>
      <w:r w:rsidRPr="00B15411">
        <w:rPr>
          <w:sz w:val="22"/>
          <w:szCs w:val="22"/>
        </w:rPr>
        <w:t>considered</w:t>
      </w:r>
      <w:r w:rsidRPr="00B15411">
        <w:rPr>
          <w:spacing w:val="-4"/>
          <w:sz w:val="22"/>
          <w:szCs w:val="22"/>
        </w:rPr>
        <w:t xml:space="preserve"> </w:t>
      </w:r>
      <w:r w:rsidRPr="00B15411">
        <w:rPr>
          <w:spacing w:val="-1"/>
          <w:sz w:val="22"/>
          <w:szCs w:val="22"/>
        </w:rPr>
        <w:t>significant</w:t>
      </w:r>
      <w:r w:rsidRPr="00B15411">
        <w:rPr>
          <w:spacing w:val="-6"/>
          <w:sz w:val="22"/>
          <w:szCs w:val="22"/>
        </w:rPr>
        <w:t xml:space="preserve"> </w:t>
      </w:r>
      <w:r w:rsidRPr="00B15411">
        <w:rPr>
          <w:spacing w:val="-1"/>
          <w:sz w:val="22"/>
          <w:szCs w:val="22"/>
        </w:rPr>
        <w:t>for</w:t>
      </w:r>
      <w:r w:rsidRPr="00B15411">
        <w:rPr>
          <w:spacing w:val="-4"/>
          <w:sz w:val="22"/>
          <w:szCs w:val="22"/>
        </w:rPr>
        <w:t xml:space="preserve"> </w:t>
      </w:r>
      <w:r w:rsidRPr="00B15411">
        <w:rPr>
          <w:sz w:val="22"/>
          <w:szCs w:val="22"/>
        </w:rPr>
        <w:t>ozone.</w:t>
      </w:r>
      <w:r>
        <w:rPr>
          <w:sz w:val="22"/>
          <w:szCs w:val="22"/>
        </w:rPr>
        <w:t xml:space="preserve"> </w:t>
      </w:r>
      <w:r w:rsidRPr="009C291E">
        <w:rPr>
          <w:spacing w:val="-1"/>
          <w:sz w:val="22"/>
          <w:szCs w:val="22"/>
        </w:rPr>
        <w:t xml:space="preserve"> </w:t>
      </w:r>
      <w:r>
        <w:rPr>
          <w:spacing w:val="-1"/>
          <w:sz w:val="22"/>
          <w:szCs w:val="22"/>
        </w:rPr>
        <w:t xml:space="preserve">(Refer to SERs in </w:t>
      </w:r>
      <w:r w:rsidR="00BA5A58">
        <w:fldChar w:fldCharType="begin"/>
      </w:r>
      <w:r w:rsidR="00BA5A58">
        <w:instrText xml:space="preserve"> REF _Ref404613265 \h  \* MERGEFORMAT </w:instrText>
      </w:r>
      <w:r w:rsidR="00BA5A58">
        <w:fldChar w:fldCharType="separate"/>
      </w:r>
      <w:r w:rsidR="00A834F3" w:rsidRPr="00A834F3">
        <w:rPr>
          <w:b/>
          <w:sz w:val="22"/>
          <w:szCs w:val="22"/>
        </w:rPr>
        <w:t>Table 1</w:t>
      </w:r>
      <w:r w:rsidR="00BA5A58">
        <w:fldChar w:fldCharType="end"/>
      </w:r>
      <w:r>
        <w:rPr>
          <w:spacing w:val="-1"/>
          <w:sz w:val="22"/>
          <w:szCs w:val="22"/>
        </w:rPr>
        <w:t>)</w:t>
      </w:r>
    </w:p>
    <w:p w:rsidR="00617D4C" w:rsidRPr="00B15411" w:rsidRDefault="00617D4C" w:rsidP="00617D4C">
      <w:pPr>
        <w:pStyle w:val="ListParagraph"/>
        <w:numPr>
          <w:ilvl w:val="0"/>
          <w:numId w:val="7"/>
        </w:numPr>
        <w:tabs>
          <w:tab w:val="left" w:pos="754"/>
        </w:tabs>
        <w:kinsoku w:val="0"/>
        <w:overflowPunct w:val="0"/>
        <w:autoSpaceDE w:val="0"/>
        <w:autoSpaceDN w:val="0"/>
        <w:adjustRightInd w:val="0"/>
        <w:spacing w:after="120"/>
        <w:ind w:left="360" w:right="121"/>
        <w:contextualSpacing w:val="0"/>
        <w:rPr>
          <w:sz w:val="22"/>
          <w:szCs w:val="22"/>
        </w:rPr>
      </w:pPr>
      <w:r>
        <w:rPr>
          <w:sz w:val="22"/>
          <w:szCs w:val="22"/>
        </w:rPr>
        <w:t xml:space="preserve">through (d).  </w:t>
      </w:r>
      <w:r w:rsidRPr="00D53A1E">
        <w:rPr>
          <w:sz w:val="22"/>
          <w:szCs w:val="22"/>
        </w:rPr>
        <w:t>These paragraphs are not relevant to this review</w:t>
      </w:r>
      <w:r>
        <w:rPr>
          <w:sz w:val="22"/>
          <w:szCs w:val="22"/>
        </w:rPr>
        <w:t>.</w:t>
      </w:r>
    </w:p>
    <w:p w:rsidR="008B5EE9" w:rsidRDefault="008B5EE9" w:rsidP="00617D4C">
      <w:pPr>
        <w:autoSpaceDE w:val="0"/>
        <w:autoSpaceDN w:val="0"/>
        <w:adjustRightInd w:val="0"/>
        <w:spacing w:before="120" w:after="120"/>
        <w:rPr>
          <w:rFonts w:eastAsia="Calibri"/>
          <w:sz w:val="22"/>
          <w:szCs w:val="22"/>
        </w:rPr>
      </w:pPr>
      <w:r>
        <w:rPr>
          <w:rFonts w:eastAsia="Calibri"/>
          <w:sz w:val="22"/>
          <w:szCs w:val="22"/>
        </w:rPr>
        <w:t xml:space="preserve">For a major modification of an existing major stationary source, the review must include a BACT determination for any PSD pollutant that exceeds the respective SER.  The review must include demonstrations that the project will not cause or contribute to a violation of an AAQS or increment and that the project will not adversely affect AQRVs.  </w:t>
      </w:r>
    </w:p>
    <w:p w:rsidR="008B5EE9" w:rsidRDefault="008B5EE9" w:rsidP="008B5EE9">
      <w:pPr>
        <w:autoSpaceDE w:val="0"/>
        <w:autoSpaceDN w:val="0"/>
        <w:adjustRightInd w:val="0"/>
        <w:spacing w:after="120"/>
        <w:rPr>
          <w:rFonts w:eastAsia="Calibri"/>
          <w:sz w:val="22"/>
          <w:szCs w:val="22"/>
        </w:rPr>
      </w:pPr>
      <w:r w:rsidRPr="00983283">
        <w:rPr>
          <w:rFonts w:eastAsia="Calibri"/>
          <w:sz w:val="22"/>
          <w:szCs w:val="22"/>
        </w:rPr>
        <w:t>GHGs becomes subject to regulation at a major modification if project emissions as CO</w:t>
      </w:r>
      <w:r w:rsidRPr="00983283">
        <w:rPr>
          <w:rFonts w:eastAsia="Calibri"/>
          <w:sz w:val="22"/>
          <w:szCs w:val="22"/>
          <w:vertAlign w:val="subscript"/>
        </w:rPr>
        <w:t>2</w:t>
      </w:r>
      <w:r w:rsidRPr="00983283">
        <w:rPr>
          <w:rFonts w:eastAsia="Calibri"/>
          <w:sz w:val="22"/>
          <w:szCs w:val="22"/>
        </w:rPr>
        <w:t xml:space="preserve">e are greater than 75,000 tons/year and mass GHGs exceed zero tons/year.  </w:t>
      </w:r>
      <w:r w:rsidR="004A024C" w:rsidRPr="00007C63">
        <w:rPr>
          <w:sz w:val="22"/>
          <w:szCs w:val="22"/>
        </w:rPr>
        <w:t xml:space="preserve">Consistent with </w:t>
      </w:r>
      <w:r w:rsidR="001D6E6A">
        <w:rPr>
          <w:sz w:val="22"/>
          <w:szCs w:val="22"/>
        </w:rPr>
        <w:t xml:space="preserve">the previously mentioned </w:t>
      </w:r>
      <w:r w:rsidR="004A024C" w:rsidRPr="00007C63">
        <w:rPr>
          <w:sz w:val="22"/>
          <w:szCs w:val="22"/>
        </w:rPr>
        <w:t xml:space="preserve">Supreme Court Opinion and EPA Implementation Guidance, if </w:t>
      </w:r>
      <w:r w:rsidR="004A024C">
        <w:rPr>
          <w:sz w:val="22"/>
          <w:szCs w:val="22"/>
        </w:rPr>
        <w:t xml:space="preserve">a </w:t>
      </w:r>
      <w:r w:rsidR="004A024C" w:rsidRPr="00007C63">
        <w:rPr>
          <w:sz w:val="22"/>
          <w:szCs w:val="22"/>
        </w:rPr>
        <w:t>project does not trigger PSD for pollutants other than GHGs then PSD is not triggered by GHGs regardless of emissions</w:t>
      </w:r>
      <w:r w:rsidR="001D6E6A">
        <w:rPr>
          <w:sz w:val="22"/>
          <w:szCs w:val="22"/>
        </w:rPr>
        <w:t xml:space="preserve"> or emission increases</w:t>
      </w:r>
      <w:r w:rsidR="004A024C" w:rsidRPr="00007C63">
        <w:rPr>
          <w:sz w:val="22"/>
          <w:szCs w:val="22"/>
        </w:rPr>
        <w:t>.</w:t>
      </w:r>
    </w:p>
    <w:p w:rsidR="009C291E" w:rsidRPr="00366BCE" w:rsidRDefault="009C291E" w:rsidP="00D12056">
      <w:pPr>
        <w:pStyle w:val="ListParagraph"/>
        <w:numPr>
          <w:ilvl w:val="1"/>
          <w:numId w:val="1"/>
        </w:numPr>
        <w:tabs>
          <w:tab w:val="left" w:pos="450"/>
        </w:tabs>
        <w:spacing w:after="120"/>
        <w:ind w:left="450" w:hanging="450"/>
        <w:rPr>
          <w:b/>
          <w:sz w:val="22"/>
          <w:szCs w:val="22"/>
        </w:rPr>
      </w:pPr>
      <w:r>
        <w:rPr>
          <w:b/>
          <w:sz w:val="22"/>
          <w:szCs w:val="22"/>
        </w:rPr>
        <w:t xml:space="preserve">Definitions of </w:t>
      </w:r>
      <w:r w:rsidRPr="00366BCE">
        <w:rPr>
          <w:b/>
          <w:sz w:val="22"/>
          <w:szCs w:val="22"/>
        </w:rPr>
        <w:t>Baseline Actual Emissions and Projected Actual Emissions</w:t>
      </w:r>
    </w:p>
    <w:p w:rsidR="009C291E" w:rsidRPr="00366BCE" w:rsidRDefault="009C291E" w:rsidP="00D12056">
      <w:pPr>
        <w:autoSpaceDE w:val="0"/>
        <w:autoSpaceDN w:val="0"/>
        <w:adjustRightInd w:val="0"/>
        <w:spacing w:after="120"/>
        <w:rPr>
          <w:sz w:val="22"/>
          <w:szCs w:val="22"/>
        </w:rPr>
      </w:pPr>
      <w:r w:rsidRPr="00366BCE">
        <w:rPr>
          <w:sz w:val="22"/>
          <w:szCs w:val="22"/>
        </w:rPr>
        <w:t xml:space="preserve">To determine whether the project causes net emissions increases equal to or greater than the respective SER (triggering PSD) requires a comparison of recent “baseline actual emissions” with future “projected actual emissions”.  According to Rule 62-210.200(Definitions), F.A.C., </w:t>
      </w:r>
      <w:r w:rsidR="00D12056">
        <w:rPr>
          <w:sz w:val="22"/>
          <w:szCs w:val="22"/>
        </w:rPr>
        <w:t xml:space="preserve">as applicable to </w:t>
      </w:r>
      <w:r w:rsidRPr="00366BCE">
        <w:rPr>
          <w:sz w:val="22"/>
          <w:szCs w:val="22"/>
        </w:rPr>
        <w:t>an existing electric steam generating unit</w:t>
      </w:r>
      <w:r w:rsidR="00D12056">
        <w:rPr>
          <w:sz w:val="22"/>
          <w:szCs w:val="22"/>
        </w:rPr>
        <w:t>:</w:t>
      </w:r>
    </w:p>
    <w:p w:rsidR="00D12056" w:rsidRPr="00D12056" w:rsidRDefault="009C291E" w:rsidP="00D12056">
      <w:pPr>
        <w:autoSpaceDE w:val="0"/>
        <w:autoSpaceDN w:val="0"/>
        <w:adjustRightInd w:val="0"/>
        <w:spacing w:after="120"/>
        <w:rPr>
          <w:i/>
          <w:sz w:val="22"/>
          <w:szCs w:val="22"/>
        </w:rPr>
      </w:pPr>
      <w:r w:rsidRPr="00366BCE">
        <w:rPr>
          <w:i/>
          <w:sz w:val="22"/>
          <w:szCs w:val="22"/>
        </w:rPr>
        <w:t>“Baseline Actual Emissions” means</w:t>
      </w:r>
      <w:r w:rsidR="00D12056">
        <w:rPr>
          <w:i/>
          <w:sz w:val="22"/>
          <w:szCs w:val="22"/>
        </w:rPr>
        <w:t>,</w:t>
      </w:r>
      <w:r w:rsidRPr="00366BCE">
        <w:rPr>
          <w:i/>
          <w:sz w:val="22"/>
          <w:szCs w:val="22"/>
        </w:rPr>
        <w:t xml:space="preserve"> </w:t>
      </w:r>
      <w:r w:rsidR="00D12056">
        <w:rPr>
          <w:i/>
          <w:sz w:val="22"/>
          <w:szCs w:val="22"/>
        </w:rPr>
        <w:t>f</w:t>
      </w:r>
      <w:r w:rsidR="00D12056" w:rsidRPr="00D12056">
        <w:rPr>
          <w:i/>
          <w:sz w:val="22"/>
          <w:szCs w:val="22"/>
        </w:rPr>
        <w:t>or any existing electric utility steam generating unit, the average rate, in</w:t>
      </w:r>
      <w:r w:rsidR="00D12056">
        <w:rPr>
          <w:i/>
          <w:sz w:val="22"/>
          <w:szCs w:val="22"/>
        </w:rPr>
        <w:t xml:space="preserve"> </w:t>
      </w:r>
      <w:r w:rsidR="00D12056" w:rsidRPr="00D12056">
        <w:rPr>
          <w:i/>
          <w:sz w:val="22"/>
          <w:szCs w:val="22"/>
        </w:rPr>
        <w:t xml:space="preserve">tons per year, at which the unit actually emitted the pollutant during any consecutive 24-month period selected by </w:t>
      </w:r>
      <w:r w:rsidR="00D12056" w:rsidRPr="00D12056">
        <w:rPr>
          <w:i/>
          <w:sz w:val="22"/>
          <w:szCs w:val="22"/>
        </w:rPr>
        <w:lastRenderedPageBreak/>
        <w:t>the</w:t>
      </w:r>
      <w:r w:rsidR="00D12056">
        <w:rPr>
          <w:i/>
          <w:sz w:val="22"/>
          <w:szCs w:val="22"/>
        </w:rPr>
        <w:t xml:space="preserve"> </w:t>
      </w:r>
      <w:r w:rsidR="00D12056" w:rsidRPr="00D12056">
        <w:rPr>
          <w:i/>
          <w:sz w:val="22"/>
          <w:szCs w:val="22"/>
        </w:rPr>
        <w:t>owner or operator within the 5-year period immediately preceding the date a complete permit application is received</w:t>
      </w:r>
      <w:r w:rsidR="00D12056">
        <w:rPr>
          <w:i/>
          <w:sz w:val="22"/>
          <w:szCs w:val="22"/>
        </w:rPr>
        <w:t xml:space="preserve">  </w:t>
      </w:r>
      <w:r w:rsidR="00D12056" w:rsidRPr="00D12056">
        <w:rPr>
          <w:i/>
          <w:sz w:val="22"/>
          <w:szCs w:val="22"/>
        </w:rPr>
        <w:t xml:space="preserve">by the Department. </w:t>
      </w:r>
      <w:r w:rsidR="00D12056">
        <w:rPr>
          <w:i/>
          <w:sz w:val="22"/>
          <w:szCs w:val="22"/>
        </w:rPr>
        <w:t xml:space="preserve"> </w:t>
      </w:r>
      <w:r w:rsidR="00D12056" w:rsidRPr="00D12056">
        <w:rPr>
          <w:i/>
          <w:sz w:val="22"/>
          <w:szCs w:val="22"/>
        </w:rPr>
        <w:t>The Department shall allow the use of a different time period upon a determination that it is more</w:t>
      </w:r>
      <w:r w:rsidR="00D12056">
        <w:rPr>
          <w:i/>
          <w:sz w:val="22"/>
          <w:szCs w:val="22"/>
        </w:rPr>
        <w:t xml:space="preserve"> </w:t>
      </w:r>
      <w:r w:rsidR="00D12056" w:rsidRPr="00D12056">
        <w:rPr>
          <w:i/>
          <w:sz w:val="22"/>
          <w:szCs w:val="22"/>
        </w:rPr>
        <w:t>representative of normal source operation.</w:t>
      </w:r>
    </w:p>
    <w:p w:rsidR="009C291E" w:rsidRPr="00366BCE" w:rsidRDefault="009C291E" w:rsidP="00744C9B">
      <w:pPr>
        <w:autoSpaceDE w:val="0"/>
        <w:autoSpaceDN w:val="0"/>
        <w:adjustRightInd w:val="0"/>
        <w:spacing w:after="120"/>
        <w:rPr>
          <w:i/>
          <w:sz w:val="22"/>
          <w:szCs w:val="22"/>
        </w:rPr>
      </w:pPr>
      <w:r w:rsidRPr="00366BCE">
        <w:rPr>
          <w:i/>
          <w:sz w:val="22"/>
          <w:szCs w:val="22"/>
        </w:rPr>
        <w:t xml:space="preserve">“Projected Actual Emissions” means the maximum annual rate, in tons/year, at which an existing emissions unit is projected to emit a PSD pollutant in </w:t>
      </w:r>
      <w:r w:rsidRPr="00366BCE">
        <w:rPr>
          <w:b/>
          <w:i/>
          <w:sz w:val="22"/>
          <w:szCs w:val="22"/>
        </w:rPr>
        <w:t>any one</w:t>
      </w:r>
      <w:r w:rsidRPr="00366BCE">
        <w:rPr>
          <w:i/>
          <w:sz w:val="22"/>
          <w:szCs w:val="22"/>
        </w:rPr>
        <w:t xml:space="preserve"> of the 5 years following the date the unit resumes regular operation after the project, or in </w:t>
      </w:r>
      <w:r w:rsidRPr="00366BCE">
        <w:rPr>
          <w:b/>
          <w:i/>
          <w:sz w:val="22"/>
          <w:szCs w:val="22"/>
        </w:rPr>
        <w:t>any one</w:t>
      </w:r>
      <w:r w:rsidRPr="00366BCE">
        <w:rPr>
          <w:i/>
          <w:sz w:val="22"/>
          <w:szCs w:val="22"/>
        </w:rPr>
        <w:t xml:space="preserve"> of the 10 years following that date, if the project involves increasing the emissions unit's design capacity or its potential to emit that PSD pollutant and full utilization of the unit would result in a significant emissions increase or a significant net emissions increase at the major stationary source.  One year is one 12-month period.   In determining the projected actual emissions, the Department:</w:t>
      </w:r>
    </w:p>
    <w:p w:rsidR="009C291E" w:rsidRPr="00366BCE" w:rsidRDefault="009C291E" w:rsidP="00744C9B">
      <w:pPr>
        <w:numPr>
          <w:ilvl w:val="0"/>
          <w:numId w:val="4"/>
        </w:numPr>
        <w:autoSpaceDE w:val="0"/>
        <w:autoSpaceDN w:val="0"/>
        <w:adjustRightInd w:val="0"/>
        <w:spacing w:after="120"/>
        <w:ind w:left="360"/>
        <w:rPr>
          <w:sz w:val="22"/>
          <w:szCs w:val="22"/>
        </w:rPr>
      </w:pPr>
      <w:r w:rsidRPr="00366BCE">
        <w:rPr>
          <w:sz w:val="22"/>
          <w:szCs w:val="22"/>
        </w:rPr>
        <w:t>Shall consider all relevant information, including historical operational data, the company’s own representations, the company’s expected business activity and the company’s highest projections of business activity, the company’s filings with the State or Federal regulatory authorities, and compliance plans or orders, including consent orders; and</w:t>
      </w:r>
    </w:p>
    <w:p w:rsidR="009C291E" w:rsidRPr="00366BCE" w:rsidRDefault="009C291E" w:rsidP="00744C9B">
      <w:pPr>
        <w:numPr>
          <w:ilvl w:val="0"/>
          <w:numId w:val="4"/>
        </w:numPr>
        <w:autoSpaceDE w:val="0"/>
        <w:autoSpaceDN w:val="0"/>
        <w:adjustRightInd w:val="0"/>
        <w:spacing w:after="120"/>
        <w:ind w:left="360"/>
        <w:rPr>
          <w:sz w:val="22"/>
          <w:szCs w:val="22"/>
        </w:rPr>
      </w:pPr>
      <w:r w:rsidRPr="00366BCE">
        <w:rPr>
          <w:sz w:val="22"/>
          <w:szCs w:val="22"/>
        </w:rPr>
        <w:t>Shall include fugitive emissions to the extent quantifiable and emissions associated with startups and shutdowns; and</w:t>
      </w:r>
    </w:p>
    <w:p w:rsidR="009C291E" w:rsidRPr="00366BCE" w:rsidRDefault="009C291E" w:rsidP="00744C9B">
      <w:pPr>
        <w:numPr>
          <w:ilvl w:val="0"/>
          <w:numId w:val="4"/>
        </w:numPr>
        <w:autoSpaceDE w:val="0"/>
        <w:autoSpaceDN w:val="0"/>
        <w:adjustRightInd w:val="0"/>
        <w:spacing w:after="120"/>
        <w:ind w:left="360"/>
        <w:rPr>
          <w:sz w:val="22"/>
          <w:szCs w:val="22"/>
        </w:rPr>
      </w:pPr>
      <w:r w:rsidRPr="00366BCE">
        <w:rPr>
          <w:sz w:val="22"/>
          <w:szCs w:val="22"/>
        </w:rPr>
        <w:t>Shall exclude that portion of the unit's emissions following the project that an existing unit could have accommodated during the consecutive 24-month period used to establish the baseline actual emissions and that are also unrelated to the particular project including any increased utilization due to product demand growth; or</w:t>
      </w:r>
    </w:p>
    <w:p w:rsidR="009C291E" w:rsidRDefault="009C291E" w:rsidP="00744C9B">
      <w:pPr>
        <w:numPr>
          <w:ilvl w:val="0"/>
          <w:numId w:val="4"/>
        </w:numPr>
        <w:autoSpaceDE w:val="0"/>
        <w:autoSpaceDN w:val="0"/>
        <w:adjustRightInd w:val="0"/>
        <w:spacing w:after="120"/>
        <w:ind w:left="360"/>
        <w:rPr>
          <w:sz w:val="22"/>
          <w:szCs w:val="22"/>
        </w:rPr>
      </w:pPr>
      <w:r w:rsidRPr="00366BCE">
        <w:rPr>
          <w:sz w:val="22"/>
          <w:szCs w:val="22"/>
        </w:rPr>
        <w:t>In lieu of using the method set out in paragraphs (a) through (c) above, may be directed by the owner or operator to use the emissions unit’s potential to emit, in tons per year.</w:t>
      </w:r>
    </w:p>
    <w:p w:rsidR="009C291E" w:rsidRDefault="009C291E" w:rsidP="00744C9B">
      <w:pPr>
        <w:pStyle w:val="ListParagraph"/>
        <w:numPr>
          <w:ilvl w:val="1"/>
          <w:numId w:val="1"/>
        </w:numPr>
        <w:tabs>
          <w:tab w:val="left" w:pos="450"/>
        </w:tabs>
        <w:spacing w:after="120"/>
        <w:ind w:left="446" w:hanging="446"/>
        <w:rPr>
          <w:rFonts w:eastAsia="Calibri"/>
          <w:b/>
          <w:sz w:val="22"/>
          <w:szCs w:val="22"/>
        </w:rPr>
      </w:pPr>
      <w:r>
        <w:rPr>
          <w:rFonts w:eastAsia="Calibri"/>
          <w:b/>
          <w:sz w:val="22"/>
          <w:szCs w:val="22"/>
        </w:rPr>
        <w:t xml:space="preserve">Emission Calculations Submitted by </w:t>
      </w:r>
      <w:r w:rsidR="00AC0AAF">
        <w:rPr>
          <w:rFonts w:eastAsia="Calibri"/>
          <w:b/>
          <w:sz w:val="22"/>
          <w:szCs w:val="22"/>
        </w:rPr>
        <w:t>FPL</w:t>
      </w:r>
    </w:p>
    <w:p w:rsidR="00744C9B" w:rsidRPr="00744C9B" w:rsidRDefault="00744C9B" w:rsidP="00744C9B">
      <w:pPr>
        <w:autoSpaceDE w:val="0"/>
        <w:autoSpaceDN w:val="0"/>
        <w:adjustRightInd w:val="0"/>
        <w:spacing w:after="120"/>
        <w:rPr>
          <w:sz w:val="22"/>
          <w:szCs w:val="22"/>
        </w:rPr>
      </w:pPr>
      <w:r w:rsidRPr="00744C9B">
        <w:rPr>
          <w:sz w:val="22"/>
          <w:szCs w:val="22"/>
        </w:rPr>
        <w:t>Refer to</w:t>
      </w:r>
      <w:r>
        <w:rPr>
          <w:sz w:val="22"/>
          <w:szCs w:val="22"/>
        </w:rPr>
        <w:t xml:space="preserve"> </w:t>
      </w:r>
      <w:r w:rsidR="00BA5A58">
        <w:fldChar w:fldCharType="begin"/>
      </w:r>
      <w:r w:rsidR="00BA5A58">
        <w:instrText xml:space="preserve"> REF _Ref404634136 \h  \* MERGEFORMAT </w:instrText>
      </w:r>
      <w:r w:rsidR="00BA5A58">
        <w:fldChar w:fldCharType="separate"/>
      </w:r>
      <w:r w:rsidR="00A834F3" w:rsidRPr="00A834F3">
        <w:rPr>
          <w:b/>
          <w:sz w:val="22"/>
          <w:szCs w:val="22"/>
        </w:rPr>
        <w:t>Table 2</w:t>
      </w:r>
      <w:r w:rsidR="00BA5A58">
        <w:fldChar w:fldCharType="end"/>
      </w:r>
      <w:r w:rsidRPr="00744C9B">
        <w:rPr>
          <w:sz w:val="22"/>
          <w:szCs w:val="22"/>
        </w:rPr>
        <w:t xml:space="preserve">, which is </w:t>
      </w:r>
      <w:r w:rsidR="00E232B3">
        <w:rPr>
          <w:sz w:val="22"/>
          <w:szCs w:val="22"/>
        </w:rPr>
        <w:t xml:space="preserve">based on Table 3-8 of the </w:t>
      </w:r>
      <w:r>
        <w:rPr>
          <w:sz w:val="22"/>
          <w:szCs w:val="22"/>
        </w:rPr>
        <w:t xml:space="preserve">application submitted by </w:t>
      </w:r>
      <w:r w:rsidR="00AC0AAF">
        <w:rPr>
          <w:sz w:val="22"/>
          <w:szCs w:val="22"/>
        </w:rPr>
        <w:t>FPL</w:t>
      </w:r>
      <w:r w:rsidRPr="00744C9B">
        <w:rPr>
          <w:sz w:val="22"/>
          <w:szCs w:val="22"/>
        </w:rPr>
        <w:t xml:space="preserve">. </w:t>
      </w:r>
      <w:r w:rsidR="006142A1">
        <w:rPr>
          <w:sz w:val="22"/>
          <w:szCs w:val="22"/>
        </w:rPr>
        <w:t xml:space="preserve"> </w:t>
      </w:r>
      <w:hyperlink r:id="rId28" w:history="1">
        <w:r w:rsidR="006142A1">
          <w:rPr>
            <w:rStyle w:val="Hyperlink"/>
            <w:sz w:val="22"/>
            <w:szCs w:val="22"/>
          </w:rPr>
          <w:t>Link to Application</w:t>
        </w:r>
      </w:hyperlink>
      <w:r w:rsidR="006142A1">
        <w:rPr>
          <w:sz w:val="22"/>
          <w:szCs w:val="22"/>
        </w:rPr>
        <w:t xml:space="preserve"> </w:t>
      </w:r>
      <w:r w:rsidR="00D30F55">
        <w:rPr>
          <w:sz w:val="22"/>
          <w:szCs w:val="22"/>
        </w:rPr>
        <w:t xml:space="preserve"> </w:t>
      </w:r>
      <w:r w:rsidR="002F0231">
        <w:rPr>
          <w:sz w:val="22"/>
          <w:szCs w:val="22"/>
        </w:rPr>
        <w:t>Except for NO</w:t>
      </w:r>
      <w:r w:rsidR="002F0231" w:rsidRPr="00D30F55">
        <w:rPr>
          <w:sz w:val="22"/>
          <w:szCs w:val="22"/>
          <w:vertAlign w:val="subscript"/>
        </w:rPr>
        <w:t>X</w:t>
      </w:r>
      <w:r w:rsidR="002F0231">
        <w:rPr>
          <w:sz w:val="22"/>
          <w:szCs w:val="22"/>
        </w:rPr>
        <w:t xml:space="preserve">, FPL </w:t>
      </w:r>
      <w:r w:rsidR="00D30F55">
        <w:rPr>
          <w:sz w:val="22"/>
          <w:szCs w:val="22"/>
        </w:rPr>
        <w:t xml:space="preserve">expects future </w:t>
      </w:r>
      <w:r w:rsidR="002F0231">
        <w:rPr>
          <w:sz w:val="22"/>
          <w:szCs w:val="22"/>
        </w:rPr>
        <w:t xml:space="preserve">decreases in all emissions or production parameters </w:t>
      </w:r>
      <w:r w:rsidR="00D30F55">
        <w:rPr>
          <w:sz w:val="22"/>
          <w:szCs w:val="22"/>
        </w:rPr>
        <w:t xml:space="preserve">after the proposed project. </w:t>
      </w:r>
      <w:r w:rsidR="00F64623">
        <w:rPr>
          <w:sz w:val="22"/>
          <w:szCs w:val="22"/>
        </w:rPr>
        <w:t xml:space="preserve"> </w:t>
      </w:r>
    </w:p>
    <w:p w:rsidR="008E5837" w:rsidRDefault="008E5837" w:rsidP="0048576A">
      <w:pPr>
        <w:pStyle w:val="Caption"/>
        <w:spacing w:before="0" w:after="60"/>
      </w:pPr>
      <w:bookmarkStart w:id="16" w:name="_Ref404634136"/>
      <w:r>
        <w:rPr>
          <w:caps w:val="0"/>
        </w:rPr>
        <w:t>T</w:t>
      </w:r>
      <w:r w:rsidRPr="006036AA">
        <w:rPr>
          <w:caps w:val="0"/>
        </w:rPr>
        <w:t xml:space="preserve">able </w:t>
      </w:r>
      <w:r w:rsidR="00515AEA" w:rsidRPr="006036AA">
        <w:fldChar w:fldCharType="begin"/>
      </w:r>
      <w:r w:rsidRPr="006036AA">
        <w:instrText xml:space="preserve"> SEQ Table \* ARABIC </w:instrText>
      </w:r>
      <w:r w:rsidR="00515AEA" w:rsidRPr="006036AA">
        <w:fldChar w:fldCharType="separate"/>
      </w:r>
      <w:r w:rsidR="00A834F3">
        <w:rPr>
          <w:noProof/>
        </w:rPr>
        <w:t>2</w:t>
      </w:r>
      <w:r w:rsidR="00515AEA" w:rsidRPr="006036AA">
        <w:fldChar w:fldCharType="end"/>
      </w:r>
      <w:bookmarkEnd w:id="16"/>
      <w:r w:rsidRPr="006036AA">
        <w:rPr>
          <w:caps w:val="0"/>
        </w:rPr>
        <w:t xml:space="preserve">.  </w:t>
      </w:r>
      <w:r w:rsidR="00AC0AAF">
        <w:rPr>
          <w:caps w:val="0"/>
        </w:rPr>
        <w:t>FPL</w:t>
      </w:r>
      <w:r w:rsidRPr="006036AA">
        <w:rPr>
          <w:caps w:val="0"/>
          <w:szCs w:val="22"/>
        </w:rPr>
        <w:t xml:space="preserve">’s </w:t>
      </w:r>
      <w:r>
        <w:rPr>
          <w:caps w:val="0"/>
          <w:szCs w:val="22"/>
        </w:rPr>
        <w:t>E</w:t>
      </w:r>
      <w:r w:rsidRPr="006036AA">
        <w:rPr>
          <w:caps w:val="0"/>
          <w:szCs w:val="22"/>
        </w:rPr>
        <w:t>stimate</w:t>
      </w:r>
      <w:r w:rsidR="00210E12">
        <w:rPr>
          <w:caps w:val="0"/>
          <w:szCs w:val="22"/>
        </w:rPr>
        <w:t>s</w:t>
      </w:r>
      <w:r>
        <w:rPr>
          <w:caps w:val="0"/>
          <w:szCs w:val="22"/>
        </w:rPr>
        <w:t xml:space="preserve"> of </w:t>
      </w:r>
      <w:r w:rsidR="00210E12">
        <w:rPr>
          <w:caps w:val="0"/>
          <w:szCs w:val="22"/>
        </w:rPr>
        <w:t xml:space="preserve">Baseline and </w:t>
      </w:r>
      <w:r>
        <w:rPr>
          <w:caps w:val="0"/>
          <w:szCs w:val="22"/>
        </w:rPr>
        <w:t>Projected A</w:t>
      </w:r>
      <w:r w:rsidRPr="006036AA">
        <w:rPr>
          <w:caps w:val="0"/>
          <w:szCs w:val="22"/>
        </w:rPr>
        <w:t xml:space="preserve">ctual </w:t>
      </w:r>
      <w:r>
        <w:rPr>
          <w:caps w:val="0"/>
          <w:szCs w:val="22"/>
        </w:rPr>
        <w:t>E</w:t>
      </w:r>
      <w:r w:rsidRPr="006036AA">
        <w:rPr>
          <w:caps w:val="0"/>
          <w:szCs w:val="22"/>
        </w:rPr>
        <w:t>missions</w:t>
      </w:r>
      <w:r>
        <w:rPr>
          <w:caps w:val="0"/>
          <w:szCs w:val="22"/>
        </w:rPr>
        <w:t xml:space="preserve"> </w:t>
      </w:r>
      <w:r w:rsidR="00210E12">
        <w:rPr>
          <w:caps w:val="0"/>
          <w:szCs w:val="22"/>
        </w:rPr>
        <w:t>and Emissions Increases</w:t>
      </w:r>
      <w:r>
        <w:rPr>
          <w:caps w:val="0"/>
          <w:szCs w:val="22"/>
        </w:rPr>
        <w:t>.</w:t>
      </w:r>
    </w:p>
    <w:tbl>
      <w:tblPr>
        <w:tblStyle w:val="TableGrid"/>
        <w:tblW w:w="10170"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260"/>
        <w:gridCol w:w="2610"/>
        <w:gridCol w:w="3420"/>
        <w:gridCol w:w="2880"/>
      </w:tblGrid>
      <w:tr w:rsidR="0081695E" w:rsidRPr="00045916" w:rsidTr="00AD79B7">
        <w:trPr>
          <w:trHeight w:val="20"/>
        </w:trPr>
        <w:tc>
          <w:tcPr>
            <w:tcW w:w="1260" w:type="dxa"/>
            <w:tcBorders>
              <w:top w:val="single" w:sz="12" w:space="0" w:color="000000"/>
              <w:bottom w:val="single" w:sz="12" w:space="0" w:color="000000"/>
            </w:tcBorders>
            <w:vAlign w:val="center"/>
          </w:tcPr>
          <w:p w:rsidR="0081695E" w:rsidRPr="00045916" w:rsidRDefault="0081695E" w:rsidP="0085665A">
            <w:pPr>
              <w:kinsoku w:val="0"/>
              <w:overflowPunct w:val="0"/>
              <w:autoSpaceDE w:val="0"/>
              <w:autoSpaceDN w:val="0"/>
              <w:adjustRightInd w:val="0"/>
              <w:spacing w:before="60" w:after="60"/>
              <w:rPr>
                <w:b/>
              </w:rPr>
            </w:pPr>
            <w:r w:rsidRPr="00045916">
              <w:rPr>
                <w:b/>
                <w:spacing w:val="-1"/>
              </w:rPr>
              <w:t>Parameter</w:t>
            </w:r>
          </w:p>
        </w:tc>
        <w:tc>
          <w:tcPr>
            <w:tcW w:w="2610" w:type="dxa"/>
            <w:tcBorders>
              <w:top w:val="single" w:sz="12" w:space="0" w:color="000000"/>
              <w:bottom w:val="single" w:sz="12" w:space="0" w:color="000000"/>
            </w:tcBorders>
            <w:vAlign w:val="center"/>
          </w:tcPr>
          <w:p w:rsidR="0081695E" w:rsidRPr="00045916" w:rsidRDefault="00BF4B11" w:rsidP="00E232B3">
            <w:pPr>
              <w:kinsoku w:val="0"/>
              <w:overflowPunct w:val="0"/>
              <w:autoSpaceDE w:val="0"/>
              <w:autoSpaceDN w:val="0"/>
              <w:adjustRightInd w:val="0"/>
              <w:spacing w:before="60" w:after="60"/>
              <w:jc w:val="center"/>
              <w:rPr>
                <w:b/>
              </w:rPr>
            </w:pPr>
            <w:r w:rsidRPr="00045916">
              <w:rPr>
                <w:b/>
                <w:spacing w:val="-1"/>
              </w:rPr>
              <w:t>Baseline</w:t>
            </w:r>
            <w:r w:rsidRPr="00045916">
              <w:rPr>
                <w:b/>
              </w:rPr>
              <w:t xml:space="preserve"> </w:t>
            </w:r>
            <w:r w:rsidR="0081695E" w:rsidRPr="00045916">
              <w:rPr>
                <w:b/>
              </w:rPr>
              <w:t>Actual Emissions</w:t>
            </w:r>
            <w:r w:rsidR="00E232B3" w:rsidRPr="00045916">
              <w:rPr>
                <w:b/>
              </w:rPr>
              <w:t xml:space="preserve"> </w:t>
            </w:r>
            <w:r w:rsidR="00E232B3" w:rsidRPr="00045916">
              <w:rPr>
                <w:b/>
                <w:vertAlign w:val="superscript"/>
              </w:rPr>
              <w:t>1</w:t>
            </w:r>
            <w:r w:rsidR="0081695E" w:rsidRPr="00045916">
              <w:rPr>
                <w:b/>
                <w:spacing w:val="22"/>
              </w:rPr>
              <w:br/>
            </w:r>
            <w:r w:rsidR="0081695E" w:rsidRPr="00045916">
              <w:rPr>
                <w:b/>
                <w:spacing w:val="-1"/>
              </w:rPr>
              <w:t>tons/year</w:t>
            </w:r>
          </w:p>
        </w:tc>
        <w:tc>
          <w:tcPr>
            <w:tcW w:w="3420" w:type="dxa"/>
            <w:tcBorders>
              <w:top w:val="single" w:sz="12" w:space="0" w:color="000000"/>
              <w:bottom w:val="single" w:sz="12" w:space="0" w:color="000000"/>
            </w:tcBorders>
            <w:vAlign w:val="center"/>
          </w:tcPr>
          <w:p w:rsidR="0081695E" w:rsidRPr="00045916" w:rsidRDefault="00BF4B11" w:rsidP="0079077B">
            <w:pPr>
              <w:kinsoku w:val="0"/>
              <w:overflowPunct w:val="0"/>
              <w:autoSpaceDE w:val="0"/>
              <w:autoSpaceDN w:val="0"/>
              <w:adjustRightInd w:val="0"/>
              <w:spacing w:before="60" w:after="60"/>
              <w:jc w:val="center"/>
              <w:rPr>
                <w:b/>
                <w:vertAlign w:val="superscript"/>
              </w:rPr>
            </w:pPr>
            <w:r w:rsidRPr="00045916">
              <w:rPr>
                <w:b/>
              </w:rPr>
              <w:t>Projected</w:t>
            </w:r>
            <w:r w:rsidR="0081695E" w:rsidRPr="00045916">
              <w:rPr>
                <w:b/>
                <w:spacing w:val="-1"/>
              </w:rPr>
              <w:t xml:space="preserve"> Actual Emissions</w:t>
            </w:r>
            <w:r w:rsidR="0079077B">
              <w:rPr>
                <w:b/>
                <w:spacing w:val="-1"/>
              </w:rPr>
              <w:t xml:space="preserve"> </w:t>
            </w:r>
            <w:r w:rsidR="0079077B">
              <w:rPr>
                <w:b/>
                <w:spacing w:val="-1"/>
                <w:vertAlign w:val="superscript"/>
              </w:rPr>
              <w:t>2</w:t>
            </w:r>
            <w:r w:rsidR="0081695E" w:rsidRPr="00045916">
              <w:rPr>
                <w:b/>
                <w:spacing w:val="24"/>
              </w:rPr>
              <w:br/>
            </w:r>
            <w:r w:rsidR="0081695E" w:rsidRPr="00045916">
              <w:rPr>
                <w:b/>
                <w:spacing w:val="-1"/>
              </w:rPr>
              <w:t>tons/year</w:t>
            </w:r>
          </w:p>
        </w:tc>
        <w:tc>
          <w:tcPr>
            <w:tcW w:w="2880" w:type="dxa"/>
            <w:tcBorders>
              <w:top w:val="single" w:sz="12" w:space="0" w:color="000000"/>
              <w:bottom w:val="single" w:sz="12" w:space="0" w:color="000000"/>
            </w:tcBorders>
            <w:vAlign w:val="center"/>
          </w:tcPr>
          <w:p w:rsidR="0081695E" w:rsidRPr="00045916" w:rsidRDefault="0081695E" w:rsidP="002F0231">
            <w:pPr>
              <w:kinsoku w:val="0"/>
              <w:overflowPunct w:val="0"/>
              <w:autoSpaceDE w:val="0"/>
              <w:autoSpaceDN w:val="0"/>
              <w:adjustRightInd w:val="0"/>
              <w:spacing w:before="60" w:after="60"/>
              <w:jc w:val="center"/>
              <w:rPr>
                <w:b/>
              </w:rPr>
            </w:pPr>
            <w:r w:rsidRPr="00045916">
              <w:rPr>
                <w:b/>
                <w:spacing w:val="-1"/>
              </w:rPr>
              <w:t>Emissions</w:t>
            </w:r>
            <w:r w:rsidRPr="00045916">
              <w:rPr>
                <w:b/>
                <w:spacing w:val="23"/>
              </w:rPr>
              <w:t xml:space="preserve"> </w:t>
            </w:r>
            <w:r w:rsidRPr="00045916">
              <w:rPr>
                <w:b/>
                <w:spacing w:val="-1"/>
              </w:rPr>
              <w:t>Increase (Decrease)</w:t>
            </w:r>
            <w:r w:rsidRPr="00045916">
              <w:rPr>
                <w:b/>
                <w:spacing w:val="-1"/>
              </w:rPr>
              <w:br/>
              <w:t>tons/year</w:t>
            </w:r>
          </w:p>
        </w:tc>
      </w:tr>
      <w:tr w:rsidR="00BF4B11" w:rsidRPr="00A327E5" w:rsidTr="00AD79B7">
        <w:trPr>
          <w:trHeight w:val="20"/>
        </w:trPr>
        <w:tc>
          <w:tcPr>
            <w:tcW w:w="1260" w:type="dxa"/>
            <w:tcBorders>
              <w:top w:val="single" w:sz="12" w:space="0" w:color="000000"/>
            </w:tcBorders>
            <w:vAlign w:val="center"/>
          </w:tcPr>
          <w:p w:rsidR="00BF4B11" w:rsidRPr="0048576A" w:rsidRDefault="00BF4B11" w:rsidP="002F0231">
            <w:pPr>
              <w:kinsoku w:val="0"/>
              <w:overflowPunct w:val="0"/>
              <w:autoSpaceDE w:val="0"/>
              <w:autoSpaceDN w:val="0"/>
              <w:adjustRightInd w:val="0"/>
              <w:spacing w:before="60" w:after="60"/>
              <w:ind w:left="72"/>
            </w:pPr>
            <w:r w:rsidRPr="0048576A">
              <w:rPr>
                <w:position w:val="2"/>
              </w:rPr>
              <w:t>NO</w:t>
            </w:r>
            <w:r w:rsidRPr="0048576A">
              <w:t>x</w:t>
            </w:r>
          </w:p>
        </w:tc>
        <w:tc>
          <w:tcPr>
            <w:tcW w:w="2610" w:type="dxa"/>
            <w:vAlign w:val="center"/>
          </w:tcPr>
          <w:p w:rsidR="00BF4B11" w:rsidRPr="0048576A" w:rsidRDefault="00BF4B11" w:rsidP="006C6CEF">
            <w:pPr>
              <w:kinsoku w:val="0"/>
              <w:overflowPunct w:val="0"/>
              <w:autoSpaceDE w:val="0"/>
              <w:autoSpaceDN w:val="0"/>
              <w:adjustRightInd w:val="0"/>
              <w:spacing w:before="60" w:after="60"/>
              <w:jc w:val="center"/>
            </w:pPr>
            <w:r w:rsidRPr="00BD31C8">
              <w:t>904.6</w:t>
            </w:r>
          </w:p>
        </w:tc>
        <w:tc>
          <w:tcPr>
            <w:tcW w:w="3420" w:type="dxa"/>
            <w:tcBorders>
              <w:top w:val="single" w:sz="12" w:space="0" w:color="000000"/>
            </w:tcBorders>
          </w:tcPr>
          <w:p w:rsidR="00BF4B11" w:rsidRPr="0048576A" w:rsidRDefault="00BF4B11" w:rsidP="006C6CEF">
            <w:pPr>
              <w:kinsoku w:val="0"/>
              <w:overflowPunct w:val="0"/>
              <w:autoSpaceDE w:val="0"/>
              <w:autoSpaceDN w:val="0"/>
              <w:adjustRightInd w:val="0"/>
              <w:spacing w:before="60" w:after="60"/>
              <w:ind w:left="10"/>
              <w:jc w:val="center"/>
            </w:pPr>
            <w:r w:rsidRPr="00BD31C8">
              <w:rPr>
                <w:spacing w:val="-1"/>
              </w:rPr>
              <w:t>929.</w:t>
            </w:r>
            <w:r>
              <w:rPr>
                <w:spacing w:val="-1"/>
              </w:rPr>
              <w:t>9</w:t>
            </w:r>
          </w:p>
        </w:tc>
        <w:tc>
          <w:tcPr>
            <w:tcW w:w="2880" w:type="dxa"/>
            <w:tcBorders>
              <w:top w:val="single" w:sz="12" w:space="0" w:color="000000"/>
            </w:tcBorders>
          </w:tcPr>
          <w:p w:rsidR="00BF4B11" w:rsidRPr="0048576A" w:rsidRDefault="00BF4B11" w:rsidP="006C6CEF">
            <w:pPr>
              <w:kinsoku w:val="0"/>
              <w:overflowPunct w:val="0"/>
              <w:autoSpaceDE w:val="0"/>
              <w:autoSpaceDN w:val="0"/>
              <w:adjustRightInd w:val="0"/>
              <w:spacing w:before="60" w:after="60"/>
              <w:ind w:left="10"/>
              <w:jc w:val="center"/>
            </w:pPr>
            <w:r>
              <w:t>25.3</w:t>
            </w:r>
          </w:p>
        </w:tc>
      </w:tr>
      <w:tr w:rsidR="00BF4B11" w:rsidRPr="00A327E5" w:rsidTr="00AD79B7">
        <w:trPr>
          <w:trHeight w:val="20"/>
        </w:trPr>
        <w:tc>
          <w:tcPr>
            <w:tcW w:w="1260" w:type="dxa"/>
            <w:vAlign w:val="center"/>
          </w:tcPr>
          <w:p w:rsidR="00BF4B11" w:rsidRPr="0048576A" w:rsidRDefault="00BF4B11" w:rsidP="002F0231">
            <w:pPr>
              <w:kinsoku w:val="0"/>
              <w:overflowPunct w:val="0"/>
              <w:autoSpaceDE w:val="0"/>
              <w:autoSpaceDN w:val="0"/>
              <w:adjustRightInd w:val="0"/>
              <w:spacing w:before="60" w:after="60"/>
              <w:ind w:left="72"/>
            </w:pPr>
            <w:r w:rsidRPr="0048576A">
              <w:rPr>
                <w:spacing w:val="-2"/>
              </w:rPr>
              <w:t>CO</w:t>
            </w:r>
          </w:p>
        </w:tc>
        <w:tc>
          <w:tcPr>
            <w:tcW w:w="2610" w:type="dxa"/>
            <w:vAlign w:val="center"/>
          </w:tcPr>
          <w:p w:rsidR="00BF4B11" w:rsidRPr="0048576A" w:rsidRDefault="00BF4B11" w:rsidP="006C6CEF">
            <w:pPr>
              <w:kinsoku w:val="0"/>
              <w:overflowPunct w:val="0"/>
              <w:autoSpaceDE w:val="0"/>
              <w:autoSpaceDN w:val="0"/>
              <w:adjustRightInd w:val="0"/>
              <w:spacing w:before="60" w:after="60"/>
              <w:jc w:val="center"/>
            </w:pPr>
            <w:r w:rsidRPr="00BD31C8">
              <w:rPr>
                <w:spacing w:val="-1"/>
              </w:rPr>
              <w:t>49.6</w:t>
            </w:r>
          </w:p>
        </w:tc>
        <w:tc>
          <w:tcPr>
            <w:tcW w:w="3420" w:type="dxa"/>
          </w:tcPr>
          <w:p w:rsidR="00BF4B11" w:rsidRPr="0048576A" w:rsidRDefault="00BF4B11" w:rsidP="006C6CEF">
            <w:pPr>
              <w:kinsoku w:val="0"/>
              <w:overflowPunct w:val="0"/>
              <w:autoSpaceDE w:val="0"/>
              <w:autoSpaceDN w:val="0"/>
              <w:adjustRightInd w:val="0"/>
              <w:spacing w:before="60" w:after="60"/>
              <w:ind w:left="10"/>
              <w:jc w:val="center"/>
            </w:pPr>
            <w:r w:rsidRPr="00BD31C8">
              <w:rPr>
                <w:spacing w:val="-1"/>
              </w:rPr>
              <w:t>47.3</w:t>
            </w:r>
          </w:p>
        </w:tc>
        <w:tc>
          <w:tcPr>
            <w:tcW w:w="2880" w:type="dxa"/>
          </w:tcPr>
          <w:p w:rsidR="00BF4B11" w:rsidRPr="0048576A" w:rsidRDefault="00BF4B11" w:rsidP="00BF4B11">
            <w:pPr>
              <w:kinsoku w:val="0"/>
              <w:overflowPunct w:val="0"/>
              <w:autoSpaceDE w:val="0"/>
              <w:autoSpaceDN w:val="0"/>
              <w:adjustRightInd w:val="0"/>
              <w:spacing w:before="60" w:after="60"/>
              <w:ind w:left="10"/>
              <w:jc w:val="center"/>
            </w:pPr>
            <w:r>
              <w:t>(2.3)</w:t>
            </w:r>
          </w:p>
        </w:tc>
      </w:tr>
      <w:tr w:rsidR="00BF4B11" w:rsidRPr="00A327E5" w:rsidTr="00AD79B7">
        <w:trPr>
          <w:trHeight w:val="20"/>
        </w:trPr>
        <w:tc>
          <w:tcPr>
            <w:tcW w:w="1260" w:type="dxa"/>
            <w:vAlign w:val="center"/>
          </w:tcPr>
          <w:p w:rsidR="00BF4B11" w:rsidRPr="0048576A" w:rsidRDefault="00BF4B11" w:rsidP="002F0231">
            <w:pPr>
              <w:kinsoku w:val="0"/>
              <w:overflowPunct w:val="0"/>
              <w:autoSpaceDE w:val="0"/>
              <w:autoSpaceDN w:val="0"/>
              <w:adjustRightInd w:val="0"/>
              <w:spacing w:before="60" w:after="60"/>
              <w:ind w:left="72"/>
            </w:pPr>
            <w:r w:rsidRPr="0048576A">
              <w:rPr>
                <w:spacing w:val="-1"/>
              </w:rPr>
              <w:t>VOC</w:t>
            </w:r>
          </w:p>
        </w:tc>
        <w:tc>
          <w:tcPr>
            <w:tcW w:w="2610" w:type="dxa"/>
            <w:vAlign w:val="center"/>
          </w:tcPr>
          <w:p w:rsidR="00BF4B11" w:rsidRPr="0048576A" w:rsidRDefault="00BF4B11" w:rsidP="006C6CEF">
            <w:pPr>
              <w:kinsoku w:val="0"/>
              <w:overflowPunct w:val="0"/>
              <w:autoSpaceDE w:val="0"/>
              <w:autoSpaceDN w:val="0"/>
              <w:adjustRightInd w:val="0"/>
              <w:spacing w:before="60" w:after="60"/>
              <w:ind w:right="1"/>
              <w:jc w:val="center"/>
            </w:pPr>
            <w:r w:rsidRPr="00BD31C8">
              <w:rPr>
                <w:spacing w:val="-1"/>
              </w:rPr>
              <w:t>0.0</w:t>
            </w:r>
            <w:r>
              <w:rPr>
                <w:spacing w:val="-1"/>
              </w:rPr>
              <w:t>7</w:t>
            </w:r>
          </w:p>
        </w:tc>
        <w:tc>
          <w:tcPr>
            <w:tcW w:w="3420" w:type="dxa"/>
          </w:tcPr>
          <w:p w:rsidR="00BF4B11" w:rsidRPr="0048576A" w:rsidRDefault="00BF4B11" w:rsidP="006C6CEF">
            <w:pPr>
              <w:kinsoku w:val="0"/>
              <w:overflowPunct w:val="0"/>
              <w:autoSpaceDE w:val="0"/>
              <w:autoSpaceDN w:val="0"/>
              <w:adjustRightInd w:val="0"/>
              <w:spacing w:before="60" w:after="60"/>
              <w:ind w:left="9"/>
              <w:jc w:val="center"/>
            </w:pPr>
            <w:r>
              <w:rPr>
                <w:spacing w:val="-1"/>
              </w:rPr>
              <w:t>0</w:t>
            </w:r>
            <w:r w:rsidRPr="0048576A">
              <w:rPr>
                <w:spacing w:val="-1"/>
              </w:rPr>
              <w:t>.</w:t>
            </w:r>
            <w:r>
              <w:rPr>
                <w:spacing w:val="-1"/>
              </w:rPr>
              <w:t>07</w:t>
            </w:r>
          </w:p>
        </w:tc>
        <w:tc>
          <w:tcPr>
            <w:tcW w:w="2880" w:type="dxa"/>
          </w:tcPr>
          <w:p w:rsidR="00BF4B11" w:rsidRPr="0048576A" w:rsidRDefault="00BF4B11" w:rsidP="006C6CEF">
            <w:pPr>
              <w:kinsoku w:val="0"/>
              <w:overflowPunct w:val="0"/>
              <w:autoSpaceDE w:val="0"/>
              <w:autoSpaceDN w:val="0"/>
              <w:adjustRightInd w:val="0"/>
              <w:spacing w:before="60" w:after="60"/>
              <w:ind w:left="9"/>
              <w:jc w:val="center"/>
            </w:pPr>
            <w:r>
              <w:t>0</w:t>
            </w:r>
          </w:p>
        </w:tc>
      </w:tr>
      <w:tr w:rsidR="00BF4B11" w:rsidRPr="00A327E5" w:rsidTr="00AD79B7">
        <w:trPr>
          <w:trHeight w:val="20"/>
        </w:trPr>
        <w:tc>
          <w:tcPr>
            <w:tcW w:w="1260" w:type="dxa"/>
            <w:vAlign w:val="center"/>
          </w:tcPr>
          <w:p w:rsidR="00BF4B11" w:rsidRPr="0048576A" w:rsidRDefault="00BF4B11" w:rsidP="002F0231">
            <w:pPr>
              <w:kinsoku w:val="0"/>
              <w:overflowPunct w:val="0"/>
              <w:autoSpaceDE w:val="0"/>
              <w:autoSpaceDN w:val="0"/>
              <w:adjustRightInd w:val="0"/>
              <w:spacing w:before="60" w:after="60"/>
              <w:ind w:left="72"/>
            </w:pPr>
            <w:r w:rsidRPr="0048576A">
              <w:rPr>
                <w:position w:val="2"/>
              </w:rPr>
              <w:t>SO</w:t>
            </w:r>
            <w:r w:rsidRPr="0048576A">
              <w:rPr>
                <w:position w:val="2"/>
                <w:vertAlign w:val="subscript"/>
              </w:rPr>
              <w:t>2</w:t>
            </w:r>
          </w:p>
        </w:tc>
        <w:tc>
          <w:tcPr>
            <w:tcW w:w="2610" w:type="dxa"/>
            <w:vAlign w:val="center"/>
          </w:tcPr>
          <w:p w:rsidR="00BF4B11" w:rsidRPr="0048576A" w:rsidRDefault="00BF4B11" w:rsidP="006C6CEF">
            <w:pPr>
              <w:kinsoku w:val="0"/>
              <w:overflowPunct w:val="0"/>
              <w:autoSpaceDE w:val="0"/>
              <w:autoSpaceDN w:val="0"/>
              <w:adjustRightInd w:val="0"/>
              <w:spacing w:before="60" w:after="60"/>
              <w:ind w:right="1"/>
              <w:jc w:val="center"/>
            </w:pPr>
            <w:r w:rsidRPr="00BD31C8">
              <w:rPr>
                <w:spacing w:val="-1"/>
              </w:rPr>
              <w:t>19.1</w:t>
            </w:r>
          </w:p>
        </w:tc>
        <w:tc>
          <w:tcPr>
            <w:tcW w:w="3420" w:type="dxa"/>
          </w:tcPr>
          <w:p w:rsidR="00BF4B11" w:rsidRPr="0048576A" w:rsidRDefault="00BF4B11" w:rsidP="006C6CEF">
            <w:pPr>
              <w:kinsoku w:val="0"/>
              <w:overflowPunct w:val="0"/>
              <w:autoSpaceDE w:val="0"/>
              <w:autoSpaceDN w:val="0"/>
              <w:adjustRightInd w:val="0"/>
              <w:spacing w:before="60" w:after="60"/>
              <w:ind w:left="9"/>
              <w:jc w:val="center"/>
            </w:pPr>
            <w:r w:rsidRPr="00BD31C8">
              <w:rPr>
                <w:spacing w:val="-1"/>
              </w:rPr>
              <w:t>18.5</w:t>
            </w:r>
          </w:p>
        </w:tc>
        <w:tc>
          <w:tcPr>
            <w:tcW w:w="2880" w:type="dxa"/>
          </w:tcPr>
          <w:p w:rsidR="00BF4B11" w:rsidRPr="0048576A" w:rsidRDefault="00BF4B11" w:rsidP="006C6CEF">
            <w:pPr>
              <w:kinsoku w:val="0"/>
              <w:overflowPunct w:val="0"/>
              <w:autoSpaceDE w:val="0"/>
              <w:autoSpaceDN w:val="0"/>
              <w:adjustRightInd w:val="0"/>
              <w:spacing w:before="60" w:after="60"/>
              <w:ind w:left="9"/>
              <w:jc w:val="center"/>
            </w:pPr>
            <w:r>
              <w:t>(0.6)</w:t>
            </w:r>
          </w:p>
        </w:tc>
      </w:tr>
      <w:tr w:rsidR="00BF4B11" w:rsidRPr="00A327E5" w:rsidTr="00AD79B7">
        <w:trPr>
          <w:trHeight w:val="20"/>
        </w:trPr>
        <w:tc>
          <w:tcPr>
            <w:tcW w:w="1260" w:type="dxa"/>
            <w:vAlign w:val="center"/>
          </w:tcPr>
          <w:p w:rsidR="00BF4B11" w:rsidRPr="0048576A" w:rsidRDefault="00BF4B11" w:rsidP="002F0231">
            <w:pPr>
              <w:kinsoku w:val="0"/>
              <w:overflowPunct w:val="0"/>
              <w:autoSpaceDE w:val="0"/>
              <w:autoSpaceDN w:val="0"/>
              <w:adjustRightInd w:val="0"/>
              <w:spacing w:before="60" w:after="60"/>
              <w:ind w:left="72"/>
            </w:pPr>
            <w:r w:rsidRPr="0048576A">
              <w:t>PM</w:t>
            </w:r>
          </w:p>
        </w:tc>
        <w:tc>
          <w:tcPr>
            <w:tcW w:w="2610" w:type="dxa"/>
            <w:vAlign w:val="center"/>
          </w:tcPr>
          <w:p w:rsidR="00BF4B11" w:rsidRPr="0048576A" w:rsidRDefault="00BF4B11" w:rsidP="006C6CEF">
            <w:pPr>
              <w:kinsoku w:val="0"/>
              <w:overflowPunct w:val="0"/>
              <w:autoSpaceDE w:val="0"/>
              <w:autoSpaceDN w:val="0"/>
              <w:adjustRightInd w:val="0"/>
              <w:spacing w:before="60" w:after="60"/>
              <w:jc w:val="center"/>
            </w:pPr>
            <w:r w:rsidRPr="00BD31C8">
              <w:rPr>
                <w:spacing w:val="-1"/>
              </w:rPr>
              <w:t>212.3</w:t>
            </w:r>
          </w:p>
        </w:tc>
        <w:tc>
          <w:tcPr>
            <w:tcW w:w="3420" w:type="dxa"/>
          </w:tcPr>
          <w:p w:rsidR="00BF4B11" w:rsidRPr="0048576A" w:rsidRDefault="00BF4B11" w:rsidP="006C6CEF">
            <w:pPr>
              <w:kinsoku w:val="0"/>
              <w:overflowPunct w:val="0"/>
              <w:autoSpaceDE w:val="0"/>
              <w:autoSpaceDN w:val="0"/>
              <w:adjustRightInd w:val="0"/>
              <w:spacing w:before="60" w:after="60"/>
              <w:ind w:left="10"/>
              <w:jc w:val="center"/>
            </w:pPr>
            <w:r w:rsidRPr="00BD31C8">
              <w:rPr>
                <w:spacing w:val="-1"/>
              </w:rPr>
              <w:t>200.4</w:t>
            </w:r>
          </w:p>
        </w:tc>
        <w:tc>
          <w:tcPr>
            <w:tcW w:w="2880" w:type="dxa"/>
          </w:tcPr>
          <w:p w:rsidR="00BF4B11" w:rsidRPr="0048576A" w:rsidRDefault="00BF4B11" w:rsidP="006C6CEF">
            <w:pPr>
              <w:kinsoku w:val="0"/>
              <w:overflowPunct w:val="0"/>
              <w:autoSpaceDE w:val="0"/>
              <w:autoSpaceDN w:val="0"/>
              <w:adjustRightInd w:val="0"/>
              <w:spacing w:before="60" w:after="60"/>
              <w:ind w:left="10"/>
              <w:jc w:val="center"/>
            </w:pPr>
            <w:r>
              <w:t>(11.9)</w:t>
            </w:r>
          </w:p>
        </w:tc>
      </w:tr>
      <w:tr w:rsidR="00BF4B11" w:rsidRPr="00A327E5" w:rsidTr="00AD79B7">
        <w:trPr>
          <w:trHeight w:val="20"/>
        </w:trPr>
        <w:tc>
          <w:tcPr>
            <w:tcW w:w="1260" w:type="dxa"/>
            <w:vAlign w:val="center"/>
          </w:tcPr>
          <w:p w:rsidR="00BF4B11" w:rsidRPr="0048576A" w:rsidRDefault="00BF4B11" w:rsidP="002F0231">
            <w:pPr>
              <w:kinsoku w:val="0"/>
              <w:overflowPunct w:val="0"/>
              <w:autoSpaceDE w:val="0"/>
              <w:autoSpaceDN w:val="0"/>
              <w:adjustRightInd w:val="0"/>
              <w:spacing w:before="60" w:after="60"/>
              <w:ind w:left="72"/>
            </w:pPr>
            <w:r w:rsidRPr="0048576A">
              <w:rPr>
                <w:spacing w:val="-1"/>
                <w:position w:val="2"/>
              </w:rPr>
              <w:t>PM</w:t>
            </w:r>
            <w:r w:rsidRPr="0048576A">
              <w:rPr>
                <w:spacing w:val="-1"/>
                <w:position w:val="2"/>
                <w:vertAlign w:val="subscript"/>
              </w:rPr>
              <w:t>10</w:t>
            </w:r>
          </w:p>
        </w:tc>
        <w:tc>
          <w:tcPr>
            <w:tcW w:w="2610" w:type="dxa"/>
            <w:vAlign w:val="center"/>
          </w:tcPr>
          <w:p w:rsidR="00BF4B11" w:rsidRPr="0048576A" w:rsidRDefault="00BF4B11" w:rsidP="006C6CEF">
            <w:pPr>
              <w:kinsoku w:val="0"/>
              <w:overflowPunct w:val="0"/>
              <w:autoSpaceDE w:val="0"/>
              <w:autoSpaceDN w:val="0"/>
              <w:adjustRightInd w:val="0"/>
              <w:spacing w:before="60" w:after="60"/>
              <w:ind w:right="1"/>
              <w:jc w:val="center"/>
            </w:pPr>
            <w:r w:rsidRPr="00BD31C8">
              <w:rPr>
                <w:spacing w:val="-1"/>
              </w:rPr>
              <w:t>212.3</w:t>
            </w:r>
          </w:p>
        </w:tc>
        <w:tc>
          <w:tcPr>
            <w:tcW w:w="3420" w:type="dxa"/>
          </w:tcPr>
          <w:p w:rsidR="00BF4B11" w:rsidRPr="0048576A" w:rsidRDefault="00BF4B11" w:rsidP="006C6CEF">
            <w:pPr>
              <w:kinsoku w:val="0"/>
              <w:overflowPunct w:val="0"/>
              <w:autoSpaceDE w:val="0"/>
              <w:autoSpaceDN w:val="0"/>
              <w:adjustRightInd w:val="0"/>
              <w:spacing w:before="60" w:after="60"/>
              <w:ind w:left="9"/>
              <w:jc w:val="center"/>
            </w:pPr>
            <w:r w:rsidRPr="00BD31C8">
              <w:rPr>
                <w:spacing w:val="-1"/>
              </w:rPr>
              <w:t>200.4</w:t>
            </w:r>
          </w:p>
        </w:tc>
        <w:tc>
          <w:tcPr>
            <w:tcW w:w="2880" w:type="dxa"/>
          </w:tcPr>
          <w:p w:rsidR="00BF4B11" w:rsidRPr="0048576A" w:rsidRDefault="00BF4B11" w:rsidP="006C6CEF">
            <w:pPr>
              <w:kinsoku w:val="0"/>
              <w:overflowPunct w:val="0"/>
              <w:autoSpaceDE w:val="0"/>
              <w:autoSpaceDN w:val="0"/>
              <w:adjustRightInd w:val="0"/>
              <w:spacing w:before="60" w:after="60"/>
              <w:ind w:left="9"/>
              <w:jc w:val="center"/>
            </w:pPr>
            <w:r>
              <w:t>(11.9)</w:t>
            </w:r>
          </w:p>
        </w:tc>
      </w:tr>
      <w:tr w:rsidR="00BF4B11" w:rsidRPr="00A327E5" w:rsidTr="00AD79B7">
        <w:trPr>
          <w:trHeight w:val="20"/>
        </w:trPr>
        <w:tc>
          <w:tcPr>
            <w:tcW w:w="1260" w:type="dxa"/>
            <w:vAlign w:val="center"/>
          </w:tcPr>
          <w:p w:rsidR="00BF4B11" w:rsidRPr="0048576A" w:rsidRDefault="00BF4B11" w:rsidP="002F0231">
            <w:pPr>
              <w:kinsoku w:val="0"/>
              <w:overflowPunct w:val="0"/>
              <w:autoSpaceDE w:val="0"/>
              <w:autoSpaceDN w:val="0"/>
              <w:adjustRightInd w:val="0"/>
              <w:spacing w:before="60" w:after="60"/>
              <w:ind w:left="72"/>
            </w:pPr>
            <w:r w:rsidRPr="0048576A">
              <w:rPr>
                <w:position w:val="2"/>
              </w:rPr>
              <w:t>PM</w:t>
            </w:r>
            <w:r w:rsidRPr="0048576A">
              <w:rPr>
                <w:spacing w:val="-1"/>
                <w:position w:val="2"/>
                <w:vertAlign w:val="subscript"/>
              </w:rPr>
              <w:t>2.5</w:t>
            </w:r>
          </w:p>
        </w:tc>
        <w:tc>
          <w:tcPr>
            <w:tcW w:w="2610" w:type="dxa"/>
            <w:vAlign w:val="center"/>
          </w:tcPr>
          <w:p w:rsidR="00BF4B11" w:rsidRPr="0048576A" w:rsidRDefault="00BF4B11" w:rsidP="006C6CEF">
            <w:pPr>
              <w:kinsoku w:val="0"/>
              <w:overflowPunct w:val="0"/>
              <w:autoSpaceDE w:val="0"/>
              <w:autoSpaceDN w:val="0"/>
              <w:adjustRightInd w:val="0"/>
              <w:spacing w:before="60" w:after="60"/>
              <w:ind w:right="1"/>
              <w:jc w:val="center"/>
            </w:pPr>
            <w:r w:rsidRPr="00BD31C8">
              <w:rPr>
                <w:spacing w:val="-1"/>
              </w:rPr>
              <w:t>212.3</w:t>
            </w:r>
          </w:p>
        </w:tc>
        <w:tc>
          <w:tcPr>
            <w:tcW w:w="3420" w:type="dxa"/>
          </w:tcPr>
          <w:p w:rsidR="00BF4B11" w:rsidRPr="0048576A" w:rsidRDefault="00BF4B11" w:rsidP="006C6CEF">
            <w:pPr>
              <w:kinsoku w:val="0"/>
              <w:overflowPunct w:val="0"/>
              <w:autoSpaceDE w:val="0"/>
              <w:autoSpaceDN w:val="0"/>
              <w:adjustRightInd w:val="0"/>
              <w:spacing w:before="60" w:after="60"/>
              <w:ind w:left="9"/>
              <w:jc w:val="center"/>
            </w:pPr>
            <w:r w:rsidRPr="00BD31C8">
              <w:rPr>
                <w:spacing w:val="-1"/>
              </w:rPr>
              <w:t>200.4</w:t>
            </w:r>
          </w:p>
        </w:tc>
        <w:tc>
          <w:tcPr>
            <w:tcW w:w="2880" w:type="dxa"/>
          </w:tcPr>
          <w:p w:rsidR="00BF4B11" w:rsidRPr="0048576A" w:rsidRDefault="00BF4B11" w:rsidP="006C6CEF">
            <w:pPr>
              <w:kinsoku w:val="0"/>
              <w:overflowPunct w:val="0"/>
              <w:autoSpaceDE w:val="0"/>
              <w:autoSpaceDN w:val="0"/>
              <w:adjustRightInd w:val="0"/>
              <w:spacing w:before="60" w:after="60"/>
              <w:ind w:left="9"/>
              <w:jc w:val="center"/>
            </w:pPr>
            <w:r>
              <w:t>(11.9)</w:t>
            </w:r>
          </w:p>
        </w:tc>
      </w:tr>
      <w:tr w:rsidR="00BF4B11" w:rsidRPr="00A327E5" w:rsidTr="00AD79B7">
        <w:trPr>
          <w:trHeight w:val="20"/>
        </w:trPr>
        <w:tc>
          <w:tcPr>
            <w:tcW w:w="1260" w:type="dxa"/>
            <w:vAlign w:val="center"/>
          </w:tcPr>
          <w:p w:rsidR="00BF4B11" w:rsidRPr="0048576A" w:rsidRDefault="00BF4B11" w:rsidP="002F0231">
            <w:pPr>
              <w:kinsoku w:val="0"/>
              <w:overflowPunct w:val="0"/>
              <w:autoSpaceDE w:val="0"/>
              <w:autoSpaceDN w:val="0"/>
              <w:adjustRightInd w:val="0"/>
              <w:spacing w:before="60" w:after="60"/>
              <w:ind w:left="72"/>
            </w:pPr>
            <w:r w:rsidRPr="0048576A">
              <w:rPr>
                <w:spacing w:val="-1"/>
                <w:position w:val="2"/>
              </w:rPr>
              <w:t>SAM</w:t>
            </w:r>
          </w:p>
        </w:tc>
        <w:tc>
          <w:tcPr>
            <w:tcW w:w="2610" w:type="dxa"/>
            <w:vAlign w:val="center"/>
          </w:tcPr>
          <w:p w:rsidR="00BF4B11" w:rsidRPr="0048576A" w:rsidRDefault="00BF4B11" w:rsidP="006C6CEF">
            <w:pPr>
              <w:kinsoku w:val="0"/>
              <w:overflowPunct w:val="0"/>
              <w:autoSpaceDE w:val="0"/>
              <w:autoSpaceDN w:val="0"/>
              <w:adjustRightInd w:val="0"/>
              <w:spacing w:before="60" w:after="60"/>
              <w:ind w:right="3"/>
              <w:jc w:val="center"/>
            </w:pPr>
            <w:r w:rsidRPr="0048576A">
              <w:rPr>
                <w:spacing w:val="-1"/>
              </w:rPr>
              <w:t>2.</w:t>
            </w:r>
            <w:r>
              <w:rPr>
                <w:spacing w:val="-1"/>
              </w:rPr>
              <w:t>9</w:t>
            </w:r>
          </w:p>
        </w:tc>
        <w:tc>
          <w:tcPr>
            <w:tcW w:w="3420" w:type="dxa"/>
          </w:tcPr>
          <w:p w:rsidR="00BF4B11" w:rsidRPr="0048576A" w:rsidRDefault="00BF4B11" w:rsidP="006C6CEF">
            <w:pPr>
              <w:kinsoku w:val="0"/>
              <w:overflowPunct w:val="0"/>
              <w:autoSpaceDE w:val="0"/>
              <w:autoSpaceDN w:val="0"/>
              <w:adjustRightInd w:val="0"/>
              <w:spacing w:before="60" w:after="60"/>
              <w:ind w:left="8"/>
              <w:jc w:val="center"/>
            </w:pPr>
            <w:r w:rsidRPr="00BD31C8">
              <w:rPr>
                <w:spacing w:val="-1"/>
              </w:rPr>
              <w:t>2.8</w:t>
            </w:r>
          </w:p>
        </w:tc>
        <w:tc>
          <w:tcPr>
            <w:tcW w:w="2880" w:type="dxa"/>
          </w:tcPr>
          <w:p w:rsidR="00BF4B11" w:rsidRPr="0048576A" w:rsidRDefault="00BF4B11" w:rsidP="00BF4B11">
            <w:pPr>
              <w:kinsoku w:val="0"/>
              <w:overflowPunct w:val="0"/>
              <w:autoSpaceDE w:val="0"/>
              <w:autoSpaceDN w:val="0"/>
              <w:adjustRightInd w:val="0"/>
              <w:spacing w:before="60" w:after="60"/>
              <w:ind w:left="8"/>
              <w:jc w:val="center"/>
            </w:pPr>
            <w:r>
              <w:t>(0.1)</w:t>
            </w:r>
          </w:p>
        </w:tc>
      </w:tr>
      <w:tr w:rsidR="00AD79B7" w:rsidRPr="00A327E5" w:rsidTr="00AD79B7">
        <w:trPr>
          <w:trHeight w:val="20"/>
        </w:trPr>
        <w:tc>
          <w:tcPr>
            <w:tcW w:w="1260" w:type="dxa"/>
            <w:tcBorders>
              <w:bottom w:val="single" w:sz="12" w:space="0" w:color="000000"/>
            </w:tcBorders>
            <w:vAlign w:val="center"/>
          </w:tcPr>
          <w:p w:rsidR="00AD79B7" w:rsidRPr="0048576A" w:rsidRDefault="00AD79B7" w:rsidP="002F0231">
            <w:pPr>
              <w:kinsoku w:val="0"/>
              <w:overflowPunct w:val="0"/>
              <w:autoSpaceDE w:val="0"/>
              <w:autoSpaceDN w:val="0"/>
              <w:adjustRightInd w:val="0"/>
              <w:spacing w:before="60" w:after="60"/>
              <w:ind w:left="72"/>
            </w:pPr>
            <w:r w:rsidRPr="0048576A">
              <w:rPr>
                <w:spacing w:val="-1"/>
                <w:position w:val="2"/>
              </w:rPr>
              <w:t>CO</w:t>
            </w:r>
            <w:r w:rsidRPr="0048576A">
              <w:rPr>
                <w:spacing w:val="-1"/>
                <w:position w:val="2"/>
                <w:vertAlign w:val="subscript"/>
              </w:rPr>
              <w:t>2</w:t>
            </w:r>
            <w:r w:rsidRPr="0048576A">
              <w:rPr>
                <w:spacing w:val="-1"/>
                <w:position w:val="2"/>
              </w:rPr>
              <w:t>e</w:t>
            </w:r>
          </w:p>
        </w:tc>
        <w:tc>
          <w:tcPr>
            <w:tcW w:w="2610" w:type="dxa"/>
            <w:tcBorders>
              <w:bottom w:val="single" w:sz="12" w:space="0" w:color="000000"/>
            </w:tcBorders>
            <w:vAlign w:val="center"/>
          </w:tcPr>
          <w:p w:rsidR="00AD79B7" w:rsidRPr="0048576A" w:rsidRDefault="00AD79B7" w:rsidP="00AD79B7">
            <w:pPr>
              <w:kinsoku w:val="0"/>
              <w:overflowPunct w:val="0"/>
              <w:autoSpaceDE w:val="0"/>
              <w:autoSpaceDN w:val="0"/>
              <w:adjustRightInd w:val="0"/>
              <w:spacing w:before="60" w:after="60"/>
              <w:jc w:val="center"/>
            </w:pPr>
            <w:r w:rsidRPr="00BD31C8">
              <w:rPr>
                <w:spacing w:val="-1"/>
              </w:rPr>
              <w:t>3,813,002</w:t>
            </w:r>
          </w:p>
        </w:tc>
        <w:tc>
          <w:tcPr>
            <w:tcW w:w="3420" w:type="dxa"/>
            <w:tcBorders>
              <w:bottom w:val="single" w:sz="12" w:space="0" w:color="000000"/>
            </w:tcBorders>
          </w:tcPr>
          <w:p w:rsidR="00AD79B7" w:rsidRPr="0048576A" w:rsidRDefault="00AD79B7" w:rsidP="00AD79B7">
            <w:pPr>
              <w:kinsoku w:val="0"/>
              <w:overflowPunct w:val="0"/>
              <w:autoSpaceDE w:val="0"/>
              <w:autoSpaceDN w:val="0"/>
              <w:adjustRightInd w:val="0"/>
              <w:spacing w:before="60" w:after="60"/>
              <w:ind w:left="8"/>
              <w:jc w:val="center"/>
            </w:pPr>
            <w:r w:rsidRPr="0081695E">
              <w:rPr>
                <w:spacing w:val="-1"/>
              </w:rPr>
              <w:t>3,613,333</w:t>
            </w:r>
          </w:p>
        </w:tc>
        <w:tc>
          <w:tcPr>
            <w:tcW w:w="2880" w:type="dxa"/>
            <w:tcBorders>
              <w:bottom w:val="single" w:sz="12" w:space="0" w:color="000000"/>
            </w:tcBorders>
          </w:tcPr>
          <w:p w:rsidR="00AD79B7" w:rsidRPr="0048576A" w:rsidRDefault="00AD79B7" w:rsidP="00AD79B7">
            <w:pPr>
              <w:kinsoku w:val="0"/>
              <w:overflowPunct w:val="0"/>
              <w:autoSpaceDE w:val="0"/>
              <w:autoSpaceDN w:val="0"/>
              <w:adjustRightInd w:val="0"/>
              <w:spacing w:before="60" w:after="60"/>
              <w:ind w:left="8"/>
              <w:jc w:val="center"/>
            </w:pPr>
            <w:r>
              <w:t>(199,669)</w:t>
            </w:r>
          </w:p>
        </w:tc>
      </w:tr>
      <w:tr w:rsidR="00AD79B7" w:rsidRPr="00A327E5" w:rsidTr="00AD79B7">
        <w:trPr>
          <w:trHeight w:val="20"/>
        </w:trPr>
        <w:tc>
          <w:tcPr>
            <w:tcW w:w="1260" w:type="dxa"/>
            <w:tcBorders>
              <w:top w:val="single" w:sz="12" w:space="0" w:color="000000"/>
              <w:bottom w:val="single" w:sz="6" w:space="0" w:color="000000"/>
            </w:tcBorders>
            <w:vAlign w:val="center"/>
          </w:tcPr>
          <w:p w:rsidR="00AD79B7" w:rsidRPr="0048576A" w:rsidRDefault="00AD79B7" w:rsidP="002F0231">
            <w:pPr>
              <w:kinsoku w:val="0"/>
              <w:overflowPunct w:val="0"/>
              <w:autoSpaceDE w:val="0"/>
              <w:autoSpaceDN w:val="0"/>
              <w:adjustRightInd w:val="0"/>
              <w:spacing w:before="60" w:after="60"/>
              <w:ind w:left="72"/>
            </w:pPr>
            <w:r>
              <w:t>Heat Input</w:t>
            </w:r>
          </w:p>
        </w:tc>
        <w:tc>
          <w:tcPr>
            <w:tcW w:w="2610" w:type="dxa"/>
            <w:tcBorders>
              <w:top w:val="single" w:sz="12" w:space="0" w:color="000000"/>
              <w:bottom w:val="single" w:sz="6" w:space="0" w:color="000000"/>
            </w:tcBorders>
            <w:vAlign w:val="center"/>
          </w:tcPr>
          <w:p w:rsidR="00AD79B7" w:rsidRPr="0048576A" w:rsidRDefault="00AD79B7" w:rsidP="00AD79B7">
            <w:pPr>
              <w:kinsoku w:val="0"/>
              <w:overflowPunct w:val="0"/>
              <w:autoSpaceDE w:val="0"/>
              <w:autoSpaceDN w:val="0"/>
              <w:adjustRightInd w:val="0"/>
              <w:spacing w:before="60" w:after="60"/>
              <w:jc w:val="center"/>
            </w:pPr>
            <w:r>
              <w:t>64,324,000 MMBtu/year</w:t>
            </w:r>
          </w:p>
        </w:tc>
        <w:tc>
          <w:tcPr>
            <w:tcW w:w="3420" w:type="dxa"/>
            <w:tcBorders>
              <w:top w:val="single" w:sz="12" w:space="0" w:color="000000"/>
              <w:bottom w:val="single" w:sz="6" w:space="0" w:color="000000"/>
            </w:tcBorders>
          </w:tcPr>
          <w:p w:rsidR="00AD79B7" w:rsidRPr="0048576A" w:rsidRDefault="002F0231" w:rsidP="002F0231">
            <w:pPr>
              <w:kinsoku w:val="0"/>
              <w:overflowPunct w:val="0"/>
              <w:autoSpaceDE w:val="0"/>
              <w:autoSpaceDN w:val="0"/>
              <w:adjustRightInd w:val="0"/>
              <w:spacing w:before="60" w:after="60"/>
              <w:ind w:left="8"/>
              <w:jc w:val="center"/>
            </w:pPr>
            <w:r>
              <w:t xml:space="preserve">37,271,942 to </w:t>
            </w:r>
            <w:r w:rsidR="00AD79B7">
              <w:t>60,739,614 MMBtu/year</w:t>
            </w:r>
          </w:p>
        </w:tc>
        <w:tc>
          <w:tcPr>
            <w:tcW w:w="2880" w:type="dxa"/>
            <w:tcBorders>
              <w:top w:val="single" w:sz="12" w:space="0" w:color="000000"/>
              <w:bottom w:val="single" w:sz="6" w:space="0" w:color="000000"/>
            </w:tcBorders>
          </w:tcPr>
          <w:p w:rsidR="00AD79B7" w:rsidRPr="0048576A" w:rsidRDefault="002F0231" w:rsidP="002F0231">
            <w:pPr>
              <w:kinsoku w:val="0"/>
              <w:overflowPunct w:val="0"/>
              <w:autoSpaceDE w:val="0"/>
              <w:autoSpaceDN w:val="0"/>
              <w:adjustRightInd w:val="0"/>
              <w:spacing w:before="60" w:after="60"/>
              <w:ind w:left="8"/>
              <w:jc w:val="center"/>
            </w:pPr>
            <w:r>
              <w:t>(3,584,386 MMBtu/year)</w:t>
            </w:r>
          </w:p>
        </w:tc>
      </w:tr>
      <w:tr w:rsidR="00AD79B7" w:rsidRPr="00A327E5" w:rsidTr="00AD79B7">
        <w:trPr>
          <w:trHeight w:val="20"/>
        </w:trPr>
        <w:tc>
          <w:tcPr>
            <w:tcW w:w="1260" w:type="dxa"/>
            <w:tcBorders>
              <w:top w:val="single" w:sz="6" w:space="0" w:color="000000"/>
              <w:bottom w:val="single" w:sz="12" w:space="0" w:color="000000"/>
            </w:tcBorders>
            <w:vAlign w:val="center"/>
          </w:tcPr>
          <w:p w:rsidR="00AD79B7" w:rsidRDefault="002F0231" w:rsidP="002F0231">
            <w:pPr>
              <w:kinsoku w:val="0"/>
              <w:overflowPunct w:val="0"/>
              <w:autoSpaceDE w:val="0"/>
              <w:autoSpaceDN w:val="0"/>
              <w:adjustRightInd w:val="0"/>
              <w:spacing w:before="60" w:after="60"/>
              <w:ind w:left="72"/>
            </w:pPr>
            <w:r>
              <w:t>Generation</w:t>
            </w:r>
          </w:p>
        </w:tc>
        <w:tc>
          <w:tcPr>
            <w:tcW w:w="2610" w:type="dxa"/>
            <w:tcBorders>
              <w:top w:val="single" w:sz="6" w:space="0" w:color="000000"/>
            </w:tcBorders>
            <w:vAlign w:val="center"/>
          </w:tcPr>
          <w:p w:rsidR="00AD79B7" w:rsidRDefault="00AD79B7" w:rsidP="00AD79B7">
            <w:pPr>
              <w:kinsoku w:val="0"/>
              <w:overflowPunct w:val="0"/>
              <w:autoSpaceDE w:val="0"/>
              <w:autoSpaceDN w:val="0"/>
              <w:adjustRightInd w:val="0"/>
              <w:spacing w:before="60" w:after="60"/>
              <w:jc w:val="center"/>
            </w:pPr>
            <w:r>
              <w:t>8,809 GW-hours</w:t>
            </w:r>
          </w:p>
        </w:tc>
        <w:tc>
          <w:tcPr>
            <w:tcW w:w="3420" w:type="dxa"/>
            <w:tcBorders>
              <w:top w:val="single" w:sz="6" w:space="0" w:color="000000"/>
              <w:bottom w:val="single" w:sz="12" w:space="0" w:color="000000"/>
            </w:tcBorders>
          </w:tcPr>
          <w:p w:rsidR="00AD79B7" w:rsidRDefault="002F0231" w:rsidP="00AD79B7">
            <w:pPr>
              <w:kinsoku w:val="0"/>
              <w:overflowPunct w:val="0"/>
              <w:autoSpaceDE w:val="0"/>
              <w:autoSpaceDN w:val="0"/>
              <w:adjustRightInd w:val="0"/>
              <w:spacing w:before="60" w:after="60"/>
              <w:ind w:left="8"/>
              <w:jc w:val="center"/>
            </w:pPr>
            <w:r>
              <w:t>5,330 to 8,687 GW-hours</w:t>
            </w:r>
          </w:p>
        </w:tc>
        <w:tc>
          <w:tcPr>
            <w:tcW w:w="2880" w:type="dxa"/>
            <w:tcBorders>
              <w:top w:val="single" w:sz="6" w:space="0" w:color="000000"/>
              <w:bottom w:val="single" w:sz="12" w:space="0" w:color="000000"/>
            </w:tcBorders>
          </w:tcPr>
          <w:p w:rsidR="00AD79B7" w:rsidRPr="0048576A" w:rsidRDefault="002F0231" w:rsidP="00AD79B7">
            <w:pPr>
              <w:kinsoku w:val="0"/>
              <w:overflowPunct w:val="0"/>
              <w:autoSpaceDE w:val="0"/>
              <w:autoSpaceDN w:val="0"/>
              <w:adjustRightInd w:val="0"/>
              <w:spacing w:before="60" w:after="60"/>
              <w:ind w:left="8"/>
              <w:jc w:val="center"/>
            </w:pPr>
            <w:r>
              <w:t>(122)</w:t>
            </w:r>
          </w:p>
        </w:tc>
      </w:tr>
      <w:tr w:rsidR="00AD79B7" w:rsidRPr="0048576A" w:rsidTr="00AD79B7">
        <w:trPr>
          <w:trHeight w:val="20"/>
        </w:trPr>
        <w:tc>
          <w:tcPr>
            <w:tcW w:w="10170" w:type="dxa"/>
            <w:gridSpan w:val="4"/>
            <w:tcBorders>
              <w:top w:val="single" w:sz="12" w:space="0" w:color="000000"/>
              <w:bottom w:val="single" w:sz="12" w:space="0" w:color="000000"/>
            </w:tcBorders>
            <w:vAlign w:val="center"/>
          </w:tcPr>
          <w:p w:rsidR="00AD79B7" w:rsidRPr="0079077B" w:rsidRDefault="00AD79B7" w:rsidP="0079077B">
            <w:pPr>
              <w:pStyle w:val="ListParagraph"/>
              <w:numPr>
                <w:ilvl w:val="0"/>
                <w:numId w:val="10"/>
              </w:numPr>
              <w:kinsoku w:val="0"/>
              <w:overflowPunct w:val="0"/>
              <w:autoSpaceDE w:val="0"/>
              <w:autoSpaceDN w:val="0"/>
              <w:adjustRightInd w:val="0"/>
              <w:spacing w:before="20" w:after="20"/>
              <w:ind w:left="274" w:hanging="274"/>
              <w:contextualSpacing w:val="0"/>
            </w:pPr>
            <w:bookmarkStart w:id="17" w:name="_Ref404682466"/>
            <w:r w:rsidRPr="0048576A">
              <w:rPr>
                <w:sz w:val="18"/>
                <w:szCs w:val="18"/>
              </w:rPr>
              <w:t>Baseline Actual Emissions (BAE</w:t>
            </w:r>
            <w:r w:rsidR="0079077B">
              <w:rPr>
                <w:sz w:val="18"/>
                <w:szCs w:val="18"/>
              </w:rPr>
              <w:t>s</w:t>
            </w:r>
            <w:r w:rsidRPr="0048576A">
              <w:rPr>
                <w:sz w:val="18"/>
                <w:szCs w:val="18"/>
              </w:rPr>
              <w:t xml:space="preserve">) for </w:t>
            </w:r>
            <w:r>
              <w:rPr>
                <w:sz w:val="18"/>
                <w:szCs w:val="18"/>
              </w:rPr>
              <w:t>CO based on 1/2012 to 12/2013.  BAE for all other parameters based on 01</w:t>
            </w:r>
            <w:r w:rsidRPr="0048576A">
              <w:rPr>
                <w:sz w:val="18"/>
                <w:szCs w:val="18"/>
              </w:rPr>
              <w:t>/20</w:t>
            </w:r>
            <w:r>
              <w:rPr>
                <w:sz w:val="18"/>
                <w:szCs w:val="18"/>
              </w:rPr>
              <w:t>09</w:t>
            </w:r>
            <w:r w:rsidRPr="0048576A">
              <w:rPr>
                <w:sz w:val="18"/>
                <w:szCs w:val="18"/>
              </w:rPr>
              <w:t xml:space="preserve"> to 1</w:t>
            </w:r>
            <w:r>
              <w:rPr>
                <w:sz w:val="18"/>
                <w:szCs w:val="18"/>
              </w:rPr>
              <w:t>2</w:t>
            </w:r>
            <w:r w:rsidRPr="0048576A">
              <w:rPr>
                <w:sz w:val="18"/>
                <w:szCs w:val="18"/>
              </w:rPr>
              <w:t>/20</w:t>
            </w:r>
            <w:r>
              <w:rPr>
                <w:sz w:val="18"/>
                <w:szCs w:val="18"/>
              </w:rPr>
              <w:t>10</w:t>
            </w:r>
            <w:bookmarkEnd w:id="17"/>
            <w:r>
              <w:rPr>
                <w:sz w:val="18"/>
                <w:szCs w:val="18"/>
              </w:rPr>
              <w:t>.</w:t>
            </w:r>
          </w:p>
          <w:p w:rsidR="0079077B" w:rsidRPr="0048576A" w:rsidRDefault="0079077B" w:rsidP="0079077B">
            <w:pPr>
              <w:pStyle w:val="ListParagraph"/>
              <w:numPr>
                <w:ilvl w:val="0"/>
                <w:numId w:val="10"/>
              </w:numPr>
              <w:kinsoku w:val="0"/>
              <w:overflowPunct w:val="0"/>
              <w:autoSpaceDE w:val="0"/>
              <w:autoSpaceDN w:val="0"/>
              <w:adjustRightInd w:val="0"/>
              <w:spacing w:before="20" w:after="20"/>
              <w:ind w:left="270" w:hanging="270"/>
              <w:contextualSpacing w:val="0"/>
            </w:pPr>
            <w:r>
              <w:t>Projected Actual emissions (PAEs) based on historical emission factors and highest projections of generation for Unit 2.</w:t>
            </w:r>
          </w:p>
        </w:tc>
      </w:tr>
    </w:tbl>
    <w:p w:rsidR="00D63BE2" w:rsidRDefault="00AC0AAF" w:rsidP="001C7F5D">
      <w:pPr>
        <w:autoSpaceDE w:val="0"/>
        <w:autoSpaceDN w:val="0"/>
        <w:adjustRightInd w:val="0"/>
        <w:spacing w:before="120" w:after="120"/>
        <w:rPr>
          <w:sz w:val="22"/>
          <w:szCs w:val="22"/>
        </w:rPr>
      </w:pPr>
      <w:r>
        <w:rPr>
          <w:sz w:val="22"/>
          <w:szCs w:val="22"/>
        </w:rPr>
        <w:lastRenderedPageBreak/>
        <w:t>FPL</w:t>
      </w:r>
      <w:r w:rsidR="00D63BE2" w:rsidRPr="00196F52">
        <w:rPr>
          <w:sz w:val="22"/>
          <w:szCs w:val="22"/>
        </w:rPr>
        <w:t xml:space="preserve"> uses models for business planning that incorporate all of the unit characteristics, outages, fuel prices and volatilities to forecast a run profile for each unit in the portfolio.  This system-wide model calculates changes to expected utilization based on all relevant factors.  </w:t>
      </w:r>
    </w:p>
    <w:p w:rsidR="00443580" w:rsidRPr="00443580" w:rsidRDefault="00443580" w:rsidP="00443580">
      <w:pPr>
        <w:widowControl w:val="0"/>
        <w:spacing w:before="120" w:after="120"/>
        <w:rPr>
          <w:sz w:val="22"/>
          <w:szCs w:val="22"/>
        </w:rPr>
      </w:pPr>
      <w:r w:rsidRPr="00443580">
        <w:rPr>
          <w:sz w:val="22"/>
          <w:szCs w:val="22"/>
        </w:rPr>
        <w:t xml:space="preserve">The models indicate </w:t>
      </w:r>
      <w:r w:rsidR="00715482">
        <w:rPr>
          <w:sz w:val="22"/>
          <w:szCs w:val="22"/>
        </w:rPr>
        <w:t>that (with the exception of NO</w:t>
      </w:r>
      <w:r w:rsidR="00715482" w:rsidRPr="00715482">
        <w:rPr>
          <w:sz w:val="22"/>
          <w:szCs w:val="22"/>
          <w:vertAlign w:val="subscript"/>
        </w:rPr>
        <w:t>X</w:t>
      </w:r>
      <w:r w:rsidR="00715482">
        <w:rPr>
          <w:sz w:val="22"/>
          <w:szCs w:val="22"/>
        </w:rPr>
        <w:t xml:space="preserve">) </w:t>
      </w:r>
      <w:r w:rsidRPr="00443580">
        <w:rPr>
          <w:sz w:val="22"/>
          <w:szCs w:val="22"/>
        </w:rPr>
        <w:t xml:space="preserve">PAEs are less than </w:t>
      </w:r>
      <w:r w:rsidR="00715482">
        <w:rPr>
          <w:sz w:val="22"/>
          <w:szCs w:val="22"/>
        </w:rPr>
        <w:t xml:space="preserve">or equal to the </w:t>
      </w:r>
      <w:r w:rsidRPr="00443580">
        <w:rPr>
          <w:sz w:val="22"/>
          <w:szCs w:val="22"/>
        </w:rPr>
        <w:t>BAEs with or without the project</w:t>
      </w:r>
      <w:r w:rsidR="00715482">
        <w:rPr>
          <w:sz w:val="22"/>
          <w:szCs w:val="22"/>
        </w:rPr>
        <w:t xml:space="preserve"> for all pollutants</w:t>
      </w:r>
      <w:r w:rsidRPr="00443580">
        <w:rPr>
          <w:sz w:val="22"/>
          <w:szCs w:val="22"/>
        </w:rPr>
        <w:t xml:space="preserve">.  In other words, emissions are expected to decrease at the </w:t>
      </w:r>
      <w:r w:rsidR="00AC0AAF">
        <w:rPr>
          <w:sz w:val="22"/>
          <w:szCs w:val="22"/>
        </w:rPr>
        <w:t>Fort Myers Power Plant</w:t>
      </w:r>
      <w:r w:rsidRPr="00443580">
        <w:rPr>
          <w:sz w:val="22"/>
          <w:szCs w:val="22"/>
        </w:rPr>
        <w:t xml:space="preserve"> in future years with the project, but not because of the project.  </w:t>
      </w:r>
      <w:r w:rsidR="00AC0AAF">
        <w:rPr>
          <w:sz w:val="22"/>
          <w:szCs w:val="22"/>
        </w:rPr>
        <w:t>FPL</w:t>
      </w:r>
      <w:r w:rsidRPr="00443580">
        <w:rPr>
          <w:sz w:val="22"/>
          <w:szCs w:val="22"/>
        </w:rPr>
        <w:t xml:space="preserve"> did not </w:t>
      </w:r>
      <w:r>
        <w:rPr>
          <w:sz w:val="22"/>
          <w:szCs w:val="22"/>
        </w:rPr>
        <w:t xml:space="preserve">exclude future emissions due to </w:t>
      </w:r>
      <w:r w:rsidRPr="00443580">
        <w:rPr>
          <w:sz w:val="22"/>
          <w:szCs w:val="22"/>
        </w:rPr>
        <w:t xml:space="preserve">demand growth because </w:t>
      </w:r>
      <w:r>
        <w:rPr>
          <w:sz w:val="22"/>
          <w:szCs w:val="22"/>
        </w:rPr>
        <w:t xml:space="preserve">a </w:t>
      </w:r>
      <w:r w:rsidRPr="00443580">
        <w:rPr>
          <w:sz w:val="22"/>
          <w:szCs w:val="22"/>
        </w:rPr>
        <w:t xml:space="preserve">contraction of </w:t>
      </w:r>
      <w:r w:rsidR="0079077B">
        <w:rPr>
          <w:sz w:val="22"/>
          <w:szCs w:val="22"/>
        </w:rPr>
        <w:t xml:space="preserve">dispatch </w:t>
      </w:r>
      <w:r>
        <w:rPr>
          <w:sz w:val="22"/>
          <w:szCs w:val="22"/>
        </w:rPr>
        <w:t xml:space="preserve">is projected </w:t>
      </w:r>
      <w:r w:rsidR="0079077B">
        <w:rPr>
          <w:sz w:val="22"/>
          <w:szCs w:val="22"/>
        </w:rPr>
        <w:t xml:space="preserve">for Unit 2 </w:t>
      </w:r>
      <w:r w:rsidRPr="00443580">
        <w:rPr>
          <w:sz w:val="22"/>
          <w:szCs w:val="22"/>
        </w:rPr>
        <w:t xml:space="preserve">compared with the baseline period.  </w:t>
      </w:r>
    </w:p>
    <w:p w:rsidR="00196F52" w:rsidRDefault="00196F52" w:rsidP="00196F52">
      <w:pPr>
        <w:spacing w:before="120" w:after="120"/>
        <w:rPr>
          <w:sz w:val="22"/>
          <w:szCs w:val="22"/>
        </w:rPr>
      </w:pPr>
      <w:r>
        <w:rPr>
          <w:sz w:val="22"/>
          <w:szCs w:val="22"/>
        </w:rPr>
        <w:t xml:space="preserve">According to the analysis prepared by </w:t>
      </w:r>
      <w:r w:rsidR="00AC0AAF">
        <w:rPr>
          <w:sz w:val="22"/>
          <w:szCs w:val="22"/>
        </w:rPr>
        <w:t>FPL</w:t>
      </w:r>
      <w:r>
        <w:rPr>
          <w:sz w:val="22"/>
          <w:szCs w:val="22"/>
        </w:rPr>
        <w:t xml:space="preserve"> the project does not constitute a Major Modification as defined in Rule 62-210.200(Definitions), F.A.C. and does not trigger PSD.  </w:t>
      </w:r>
    </w:p>
    <w:p w:rsidR="00196F52" w:rsidRDefault="00196F52" w:rsidP="00F0372F">
      <w:pPr>
        <w:pStyle w:val="ListParagraph"/>
        <w:numPr>
          <w:ilvl w:val="1"/>
          <w:numId w:val="1"/>
        </w:numPr>
        <w:tabs>
          <w:tab w:val="left" w:pos="450"/>
        </w:tabs>
        <w:spacing w:after="120"/>
        <w:ind w:left="446" w:hanging="446"/>
        <w:contextualSpacing w:val="0"/>
        <w:rPr>
          <w:rFonts w:eastAsia="Calibri"/>
          <w:b/>
          <w:sz w:val="22"/>
          <w:szCs w:val="22"/>
        </w:rPr>
      </w:pPr>
      <w:r>
        <w:rPr>
          <w:rFonts w:eastAsia="Calibri"/>
          <w:b/>
          <w:sz w:val="22"/>
          <w:szCs w:val="22"/>
        </w:rPr>
        <w:t>Further Evaluation by the Department</w:t>
      </w:r>
    </w:p>
    <w:p w:rsidR="008E5837" w:rsidRPr="00DD7D4B" w:rsidRDefault="00196F52" w:rsidP="00F0372F">
      <w:pPr>
        <w:widowControl w:val="0"/>
        <w:spacing w:after="120"/>
        <w:rPr>
          <w:sz w:val="22"/>
          <w:szCs w:val="22"/>
        </w:rPr>
      </w:pPr>
      <w:r w:rsidRPr="00DD7D4B">
        <w:rPr>
          <w:sz w:val="22"/>
          <w:szCs w:val="22"/>
        </w:rPr>
        <w:t xml:space="preserve">Emissions are projected by </w:t>
      </w:r>
      <w:r w:rsidR="00AC0AAF" w:rsidRPr="00DD7D4B">
        <w:rPr>
          <w:sz w:val="22"/>
          <w:szCs w:val="22"/>
        </w:rPr>
        <w:t>FPL</w:t>
      </w:r>
      <w:r w:rsidRPr="00DD7D4B">
        <w:rPr>
          <w:sz w:val="22"/>
          <w:szCs w:val="22"/>
        </w:rPr>
        <w:t xml:space="preserve"> to decrease in the future despite execution of a project that constitutes an increase </w:t>
      </w:r>
      <w:r w:rsidR="001C7F5D" w:rsidRPr="00DD7D4B">
        <w:rPr>
          <w:sz w:val="22"/>
          <w:szCs w:val="22"/>
        </w:rPr>
        <w:t xml:space="preserve">in </w:t>
      </w:r>
      <w:r w:rsidRPr="00DD7D4B">
        <w:rPr>
          <w:sz w:val="22"/>
          <w:szCs w:val="22"/>
        </w:rPr>
        <w:t>capability</w:t>
      </w:r>
      <w:r w:rsidR="001C7F5D" w:rsidRPr="00DD7D4B">
        <w:rPr>
          <w:sz w:val="22"/>
          <w:szCs w:val="22"/>
        </w:rPr>
        <w:t xml:space="preserve"> (within the ratings of the generators)</w:t>
      </w:r>
      <w:r w:rsidRPr="00DD7D4B">
        <w:rPr>
          <w:sz w:val="22"/>
          <w:szCs w:val="22"/>
        </w:rPr>
        <w:t xml:space="preserve">.  </w:t>
      </w:r>
      <w:r w:rsidR="00443580" w:rsidRPr="00DD7D4B">
        <w:rPr>
          <w:sz w:val="22"/>
          <w:szCs w:val="22"/>
        </w:rPr>
        <w:t>To test this conclusion, t</w:t>
      </w:r>
      <w:r w:rsidRPr="00DD7D4B">
        <w:rPr>
          <w:sz w:val="22"/>
          <w:szCs w:val="22"/>
        </w:rPr>
        <w:t xml:space="preserve">he Department conducted additional technical analysis and </w:t>
      </w:r>
      <w:r w:rsidR="00F0372F" w:rsidRPr="00DD7D4B">
        <w:rPr>
          <w:sz w:val="22"/>
          <w:szCs w:val="22"/>
        </w:rPr>
        <w:t xml:space="preserve">examined recent </w:t>
      </w:r>
      <w:r w:rsidR="00045916" w:rsidRPr="00DD7D4B">
        <w:rPr>
          <w:sz w:val="22"/>
          <w:szCs w:val="22"/>
        </w:rPr>
        <w:t xml:space="preserve">company information </w:t>
      </w:r>
      <w:r w:rsidRPr="00DD7D4B">
        <w:rPr>
          <w:sz w:val="22"/>
          <w:szCs w:val="22"/>
        </w:rPr>
        <w:t>submitted to the Florida PSC.</w:t>
      </w:r>
    </w:p>
    <w:p w:rsidR="00A834F3" w:rsidRDefault="00AC0AAF" w:rsidP="00365D96">
      <w:pPr>
        <w:autoSpaceDE w:val="0"/>
        <w:autoSpaceDN w:val="0"/>
        <w:adjustRightInd w:val="0"/>
        <w:spacing w:after="120"/>
        <w:rPr>
          <w:sz w:val="22"/>
          <w:szCs w:val="22"/>
        </w:rPr>
      </w:pPr>
      <w:r w:rsidRPr="00DD7D4B">
        <w:rPr>
          <w:sz w:val="22"/>
          <w:szCs w:val="22"/>
        </w:rPr>
        <w:t>FPL</w:t>
      </w:r>
      <w:r w:rsidR="002660B4" w:rsidRPr="00DD7D4B">
        <w:rPr>
          <w:sz w:val="22"/>
          <w:szCs w:val="22"/>
        </w:rPr>
        <w:t xml:space="preserve">’s </w:t>
      </w:r>
      <w:r w:rsidR="00365D96" w:rsidRPr="00DD7D4B">
        <w:rPr>
          <w:sz w:val="22"/>
          <w:szCs w:val="22"/>
        </w:rPr>
        <w:t xml:space="preserve">recent (2012-2013) and projected (2014-2020) </w:t>
      </w:r>
      <w:r w:rsidR="001C7F5D" w:rsidRPr="00DD7D4B">
        <w:rPr>
          <w:sz w:val="22"/>
          <w:szCs w:val="22"/>
        </w:rPr>
        <w:t xml:space="preserve">natural gas </w:t>
      </w:r>
      <w:r w:rsidR="00045916" w:rsidRPr="00DD7D4B">
        <w:rPr>
          <w:sz w:val="22"/>
          <w:szCs w:val="22"/>
        </w:rPr>
        <w:t>us</w:t>
      </w:r>
      <w:r w:rsidR="00DC0E63" w:rsidRPr="00DD7D4B">
        <w:rPr>
          <w:sz w:val="22"/>
          <w:szCs w:val="22"/>
        </w:rPr>
        <w:t>age</w:t>
      </w:r>
      <w:r w:rsidR="00045916" w:rsidRPr="00DD7D4B">
        <w:rPr>
          <w:sz w:val="22"/>
          <w:szCs w:val="22"/>
        </w:rPr>
        <w:t xml:space="preserve"> for generation </w:t>
      </w:r>
      <w:r w:rsidR="001C7F5D" w:rsidRPr="00DD7D4B">
        <w:rPr>
          <w:sz w:val="22"/>
          <w:szCs w:val="22"/>
        </w:rPr>
        <w:t xml:space="preserve">at </w:t>
      </w:r>
      <w:r w:rsidR="00045916" w:rsidRPr="00DD7D4B">
        <w:rPr>
          <w:sz w:val="22"/>
          <w:szCs w:val="22"/>
        </w:rPr>
        <w:t xml:space="preserve">its </w:t>
      </w:r>
      <w:r w:rsidR="001C7F5D" w:rsidRPr="00DD7D4B">
        <w:rPr>
          <w:sz w:val="22"/>
          <w:szCs w:val="22"/>
        </w:rPr>
        <w:t xml:space="preserve">combined cycle (CC) units is </w:t>
      </w:r>
      <w:r w:rsidR="002660B4" w:rsidRPr="00DD7D4B">
        <w:rPr>
          <w:sz w:val="22"/>
          <w:szCs w:val="22"/>
        </w:rPr>
        <w:t>presented in</w:t>
      </w:r>
      <w:r w:rsidR="00146085" w:rsidRPr="00DD7D4B">
        <w:rPr>
          <w:sz w:val="22"/>
          <w:szCs w:val="22"/>
        </w:rPr>
        <w:t xml:space="preserve"> </w:t>
      </w:r>
      <w:r w:rsidR="00BA5A58">
        <w:fldChar w:fldCharType="begin"/>
      </w:r>
      <w:r w:rsidR="00BA5A58">
        <w:instrText xml:space="preserve"> REF _Ref404606161 \h  \* MERGEFORMAT </w:instrText>
      </w:r>
      <w:r w:rsidR="00BA5A58">
        <w:fldChar w:fldCharType="separate"/>
      </w:r>
      <w:r w:rsidR="00A834F3" w:rsidRPr="00A834F3">
        <w:rPr>
          <w:b/>
          <w:sz w:val="22"/>
          <w:szCs w:val="22"/>
        </w:rPr>
        <w:t>Table 3</w:t>
      </w:r>
      <w:r w:rsidR="00BA5A58">
        <w:fldChar w:fldCharType="end"/>
      </w:r>
      <w:r w:rsidR="00146085" w:rsidRPr="00DD7D4B">
        <w:rPr>
          <w:sz w:val="22"/>
          <w:szCs w:val="22"/>
        </w:rPr>
        <w:t xml:space="preserve">.  </w:t>
      </w:r>
      <w:r w:rsidR="000232CC" w:rsidRPr="00DD7D4B">
        <w:rPr>
          <w:sz w:val="22"/>
          <w:szCs w:val="22"/>
        </w:rPr>
        <w:t xml:space="preserve">The source of the information is the </w:t>
      </w:r>
      <w:r w:rsidRPr="00DD7D4B">
        <w:rPr>
          <w:sz w:val="22"/>
          <w:szCs w:val="22"/>
        </w:rPr>
        <w:t>FPL</w:t>
      </w:r>
      <w:r w:rsidR="000232CC" w:rsidRPr="00DD7D4B">
        <w:rPr>
          <w:sz w:val="22"/>
          <w:szCs w:val="22"/>
        </w:rPr>
        <w:t xml:space="preserve"> 10-year Site Plan submitted to the Florida P</w:t>
      </w:r>
      <w:r w:rsidR="00F84682" w:rsidRPr="00DD7D4B">
        <w:rPr>
          <w:sz w:val="22"/>
          <w:szCs w:val="22"/>
        </w:rPr>
        <w:t>SC</w:t>
      </w:r>
      <w:r w:rsidR="000232CC" w:rsidRPr="00DD7D4B">
        <w:rPr>
          <w:sz w:val="22"/>
          <w:szCs w:val="22"/>
        </w:rPr>
        <w:t xml:space="preserve"> in April 2014.</w:t>
      </w:r>
      <w:r w:rsidR="00F0372F" w:rsidRPr="00DD7D4B">
        <w:rPr>
          <w:sz w:val="22"/>
          <w:szCs w:val="22"/>
        </w:rPr>
        <w:t xml:space="preserve"> </w:t>
      </w:r>
      <w:r w:rsidR="000232CC" w:rsidRPr="00DD7D4B">
        <w:rPr>
          <w:sz w:val="22"/>
          <w:szCs w:val="22"/>
        </w:rPr>
        <w:t xml:space="preserve"> </w:t>
      </w:r>
      <w:hyperlink r:id="rId29" w:history="1">
        <w:r w:rsidR="00A21BAB" w:rsidRPr="00DD7D4B">
          <w:rPr>
            <w:rStyle w:val="Hyperlink"/>
            <w:sz w:val="22"/>
            <w:szCs w:val="22"/>
          </w:rPr>
          <w:t>Link to FPL 10-year Site Plan</w:t>
        </w:r>
      </w:hyperlink>
      <w:r w:rsidR="00A21BAB" w:rsidRPr="00DD7D4B">
        <w:rPr>
          <w:sz w:val="22"/>
          <w:szCs w:val="22"/>
        </w:rPr>
        <w:t xml:space="preserve"> </w:t>
      </w:r>
      <w:r w:rsidR="00045916" w:rsidRPr="00DD7D4B">
        <w:rPr>
          <w:sz w:val="22"/>
          <w:szCs w:val="22"/>
        </w:rPr>
        <w:t xml:space="preserve"> The Fort Myers (FM) Unit 2 values are from the application.</w:t>
      </w:r>
      <w:r w:rsidR="00146085" w:rsidRPr="00DD7D4B">
        <w:rPr>
          <w:sz w:val="22"/>
          <w:szCs w:val="22"/>
        </w:rPr>
        <w:t xml:space="preserve">  </w:t>
      </w:r>
    </w:p>
    <w:p w:rsidR="005A7A4C" w:rsidRPr="001577C6" w:rsidRDefault="000232CC" w:rsidP="000232CC">
      <w:pPr>
        <w:pStyle w:val="Caption"/>
        <w:spacing w:before="0" w:after="60"/>
        <w:rPr>
          <w:szCs w:val="22"/>
        </w:rPr>
      </w:pPr>
      <w:bookmarkStart w:id="18" w:name="_Ref404606161"/>
      <w:r w:rsidRPr="001577C6">
        <w:rPr>
          <w:caps w:val="0"/>
          <w:szCs w:val="22"/>
        </w:rPr>
        <w:t xml:space="preserve">Table </w:t>
      </w:r>
      <w:r w:rsidR="00515AEA" w:rsidRPr="001577C6">
        <w:rPr>
          <w:szCs w:val="22"/>
        </w:rPr>
        <w:fldChar w:fldCharType="begin"/>
      </w:r>
      <w:r w:rsidR="000C2DD6" w:rsidRPr="001577C6">
        <w:rPr>
          <w:szCs w:val="22"/>
        </w:rPr>
        <w:instrText xml:space="preserve"> SEQ Table \* ARABIC </w:instrText>
      </w:r>
      <w:r w:rsidR="00515AEA" w:rsidRPr="001577C6">
        <w:rPr>
          <w:szCs w:val="22"/>
        </w:rPr>
        <w:fldChar w:fldCharType="separate"/>
      </w:r>
      <w:r w:rsidR="00A834F3">
        <w:rPr>
          <w:noProof/>
          <w:szCs w:val="22"/>
        </w:rPr>
        <w:t>3</w:t>
      </w:r>
      <w:r w:rsidR="00515AEA" w:rsidRPr="001577C6">
        <w:rPr>
          <w:noProof/>
          <w:szCs w:val="22"/>
        </w:rPr>
        <w:fldChar w:fldCharType="end"/>
      </w:r>
      <w:bookmarkEnd w:id="18"/>
      <w:r w:rsidRPr="001577C6">
        <w:rPr>
          <w:caps w:val="0"/>
          <w:szCs w:val="22"/>
        </w:rPr>
        <w:t xml:space="preserve">.  </w:t>
      </w:r>
      <w:r w:rsidR="00AC0AAF">
        <w:rPr>
          <w:caps w:val="0"/>
          <w:szCs w:val="22"/>
        </w:rPr>
        <w:t>FPL</w:t>
      </w:r>
      <w:r w:rsidRPr="001577C6">
        <w:rPr>
          <w:caps w:val="0"/>
          <w:szCs w:val="22"/>
        </w:rPr>
        <w:t xml:space="preserve"> Recent and Projected </w:t>
      </w:r>
      <w:r w:rsidR="00A21BAB">
        <w:rPr>
          <w:caps w:val="0"/>
          <w:szCs w:val="22"/>
        </w:rPr>
        <w:t>Gas Use at Combined Cycle Units</w:t>
      </w:r>
      <w:r w:rsidRPr="001577C6">
        <w:rPr>
          <w:caps w:val="0"/>
          <w:szCs w:val="22"/>
        </w:rPr>
        <w:t xml:space="preserve"> </w:t>
      </w:r>
      <w:r w:rsidR="00045916">
        <w:rPr>
          <w:caps w:val="0"/>
          <w:szCs w:val="22"/>
        </w:rPr>
        <w:t>and Unit 2 (</w:t>
      </w:r>
      <w:r w:rsidRPr="001577C6">
        <w:rPr>
          <w:caps w:val="0"/>
          <w:szCs w:val="22"/>
        </w:rPr>
        <w:t>2012-2020</w:t>
      </w:r>
      <w:r w:rsidR="00045916">
        <w:rPr>
          <w:caps w:val="0"/>
          <w:szCs w:val="22"/>
        </w:rPr>
        <w:t>)</w:t>
      </w:r>
      <w:r w:rsidRPr="001577C6">
        <w:rPr>
          <w:caps w:val="0"/>
          <w:szCs w:val="22"/>
        </w:rPr>
        <w:t>.</w:t>
      </w:r>
    </w:p>
    <w:p w:rsidR="00BD3F26" w:rsidRPr="00BD3F26" w:rsidRDefault="00BD3F26" w:rsidP="00BD3F26">
      <w:pPr>
        <w:kinsoku w:val="0"/>
        <w:overflowPunct w:val="0"/>
        <w:autoSpaceDE w:val="0"/>
        <w:autoSpaceDN w:val="0"/>
        <w:adjustRightInd w:val="0"/>
        <w:spacing w:before="3"/>
        <w:rPr>
          <w:sz w:val="2"/>
          <w:szCs w:val="2"/>
        </w:rPr>
      </w:pPr>
    </w:p>
    <w:tbl>
      <w:tblPr>
        <w:tblStyle w:val="TableGrid"/>
        <w:tblW w:w="10115" w:type="dxa"/>
        <w:jc w:val="center"/>
        <w:tblBorders>
          <w:top w:val="single" w:sz="12" w:space="0" w:color="000000"/>
          <w:left w:val="single" w:sz="12" w:space="0" w:color="000000"/>
          <w:bottom w:val="single" w:sz="12" w:space="0" w:color="000000"/>
          <w:right w:val="single" w:sz="12" w:space="0" w:color="000000"/>
        </w:tblBorders>
        <w:tblLayout w:type="fixed"/>
        <w:tblLook w:val="0000" w:firstRow="0" w:lastRow="0" w:firstColumn="0" w:lastColumn="0" w:noHBand="0" w:noVBand="0"/>
      </w:tblPr>
      <w:tblGrid>
        <w:gridCol w:w="2988"/>
        <w:gridCol w:w="791"/>
        <w:gridCol w:w="792"/>
        <w:gridCol w:w="792"/>
        <w:gridCol w:w="792"/>
        <w:gridCol w:w="792"/>
        <w:gridCol w:w="792"/>
        <w:gridCol w:w="792"/>
        <w:gridCol w:w="792"/>
        <w:gridCol w:w="792"/>
      </w:tblGrid>
      <w:tr w:rsidR="00F079B9" w:rsidRPr="002C4FBB" w:rsidTr="00B376EF">
        <w:trPr>
          <w:trHeight w:val="288"/>
          <w:jc w:val="center"/>
        </w:trPr>
        <w:tc>
          <w:tcPr>
            <w:tcW w:w="2988" w:type="dxa"/>
            <w:tcBorders>
              <w:top w:val="single" w:sz="12" w:space="0" w:color="000000"/>
              <w:bottom w:val="single" w:sz="12" w:space="0" w:color="000000"/>
            </w:tcBorders>
            <w:vAlign w:val="center"/>
          </w:tcPr>
          <w:p w:rsidR="00F079B9" w:rsidRPr="00B376EF" w:rsidRDefault="00F079B9" w:rsidP="00E75F3D">
            <w:pPr>
              <w:autoSpaceDE w:val="0"/>
              <w:autoSpaceDN w:val="0"/>
              <w:adjustRightInd w:val="0"/>
              <w:spacing w:before="60" w:after="60"/>
              <w:ind w:left="-26"/>
              <w:rPr>
                <w:b/>
                <w:sz w:val="18"/>
                <w:szCs w:val="18"/>
              </w:rPr>
            </w:pPr>
            <w:r w:rsidRPr="00B376EF">
              <w:rPr>
                <w:b/>
                <w:sz w:val="18"/>
                <w:szCs w:val="18"/>
              </w:rPr>
              <w:t>Parameter</w:t>
            </w:r>
          </w:p>
        </w:tc>
        <w:tc>
          <w:tcPr>
            <w:tcW w:w="791" w:type="dxa"/>
            <w:tcBorders>
              <w:top w:val="single" w:sz="12" w:space="0" w:color="000000"/>
              <w:bottom w:val="single" w:sz="12" w:space="0" w:color="000000"/>
            </w:tcBorders>
            <w:vAlign w:val="center"/>
          </w:tcPr>
          <w:p w:rsidR="00F079B9" w:rsidRPr="002C4FBB" w:rsidRDefault="00F079B9" w:rsidP="00E75F3D">
            <w:pPr>
              <w:kinsoku w:val="0"/>
              <w:overflowPunct w:val="0"/>
              <w:autoSpaceDE w:val="0"/>
              <w:autoSpaceDN w:val="0"/>
              <w:adjustRightInd w:val="0"/>
              <w:spacing w:before="60" w:after="60"/>
              <w:ind w:left="-26"/>
              <w:jc w:val="center"/>
              <w:rPr>
                <w:rFonts w:ascii="Times New Roman Bold" w:hAnsi="Times New Roman Bold"/>
                <w:b/>
                <w:sz w:val="18"/>
                <w:szCs w:val="18"/>
              </w:rPr>
            </w:pPr>
            <w:r w:rsidRPr="002C4FBB">
              <w:rPr>
                <w:rFonts w:ascii="Times New Roman Bold" w:hAnsi="Times New Roman Bold"/>
                <w:b/>
                <w:sz w:val="18"/>
                <w:szCs w:val="18"/>
              </w:rPr>
              <w:t>2012</w:t>
            </w:r>
            <w:r w:rsidRPr="002C4FBB">
              <w:rPr>
                <w:rFonts w:ascii="Times New Roman Bold" w:hAnsi="Times New Roman Bold"/>
                <w:b/>
                <w:sz w:val="18"/>
                <w:szCs w:val="18"/>
                <w:vertAlign w:val="superscript"/>
              </w:rPr>
              <w:t>1</w:t>
            </w:r>
          </w:p>
        </w:tc>
        <w:tc>
          <w:tcPr>
            <w:tcW w:w="792" w:type="dxa"/>
            <w:tcBorders>
              <w:top w:val="single" w:sz="12" w:space="0" w:color="000000"/>
              <w:bottom w:val="single" w:sz="12" w:space="0" w:color="000000"/>
            </w:tcBorders>
            <w:vAlign w:val="center"/>
          </w:tcPr>
          <w:p w:rsidR="00F079B9" w:rsidRPr="002C4FBB" w:rsidRDefault="00F079B9" w:rsidP="00E75F3D">
            <w:pPr>
              <w:kinsoku w:val="0"/>
              <w:overflowPunct w:val="0"/>
              <w:autoSpaceDE w:val="0"/>
              <w:autoSpaceDN w:val="0"/>
              <w:adjustRightInd w:val="0"/>
              <w:spacing w:before="60" w:after="60"/>
              <w:ind w:left="131"/>
              <w:rPr>
                <w:rFonts w:ascii="Times New Roman Bold" w:hAnsi="Times New Roman Bold"/>
                <w:b/>
                <w:sz w:val="18"/>
                <w:szCs w:val="18"/>
              </w:rPr>
            </w:pPr>
            <w:r w:rsidRPr="002C4FBB">
              <w:rPr>
                <w:rFonts w:ascii="Times New Roman Bold" w:hAnsi="Times New Roman Bold"/>
                <w:b/>
                <w:sz w:val="18"/>
                <w:szCs w:val="18"/>
              </w:rPr>
              <w:t>2013</w:t>
            </w:r>
            <w:r w:rsidRPr="002C4FBB">
              <w:rPr>
                <w:rFonts w:ascii="Times New Roman Bold" w:hAnsi="Times New Roman Bold"/>
                <w:b/>
                <w:sz w:val="18"/>
                <w:szCs w:val="18"/>
                <w:vertAlign w:val="superscript"/>
              </w:rPr>
              <w:t>1</w:t>
            </w:r>
          </w:p>
        </w:tc>
        <w:tc>
          <w:tcPr>
            <w:tcW w:w="792" w:type="dxa"/>
            <w:tcBorders>
              <w:top w:val="single" w:sz="12" w:space="0" w:color="000000"/>
              <w:bottom w:val="single" w:sz="12" w:space="0" w:color="000000"/>
            </w:tcBorders>
            <w:vAlign w:val="center"/>
          </w:tcPr>
          <w:p w:rsidR="00F079B9" w:rsidRPr="002C4FBB" w:rsidRDefault="00F079B9" w:rsidP="00E75F3D">
            <w:pPr>
              <w:kinsoku w:val="0"/>
              <w:overflowPunct w:val="0"/>
              <w:autoSpaceDE w:val="0"/>
              <w:autoSpaceDN w:val="0"/>
              <w:adjustRightInd w:val="0"/>
              <w:spacing w:before="60" w:after="60"/>
              <w:ind w:left="131"/>
              <w:rPr>
                <w:rFonts w:ascii="Times New Roman Bold" w:hAnsi="Times New Roman Bold"/>
                <w:b/>
                <w:sz w:val="18"/>
                <w:szCs w:val="18"/>
              </w:rPr>
            </w:pPr>
            <w:r w:rsidRPr="002C4FBB">
              <w:rPr>
                <w:rFonts w:ascii="Times New Roman Bold" w:hAnsi="Times New Roman Bold"/>
                <w:b/>
                <w:sz w:val="18"/>
                <w:szCs w:val="18"/>
              </w:rPr>
              <w:t>2014</w:t>
            </w:r>
          </w:p>
        </w:tc>
        <w:tc>
          <w:tcPr>
            <w:tcW w:w="792" w:type="dxa"/>
            <w:tcBorders>
              <w:top w:val="single" w:sz="12" w:space="0" w:color="000000"/>
              <w:bottom w:val="single" w:sz="12" w:space="0" w:color="000000"/>
            </w:tcBorders>
            <w:vAlign w:val="center"/>
          </w:tcPr>
          <w:p w:rsidR="00F079B9" w:rsidRPr="002C4FBB" w:rsidRDefault="00F079B9" w:rsidP="00E75F3D">
            <w:pPr>
              <w:kinsoku w:val="0"/>
              <w:overflowPunct w:val="0"/>
              <w:autoSpaceDE w:val="0"/>
              <w:autoSpaceDN w:val="0"/>
              <w:adjustRightInd w:val="0"/>
              <w:spacing w:before="60" w:after="60"/>
              <w:ind w:left="131"/>
              <w:rPr>
                <w:rFonts w:ascii="Times New Roman Bold" w:hAnsi="Times New Roman Bold"/>
                <w:b/>
                <w:sz w:val="18"/>
                <w:szCs w:val="18"/>
              </w:rPr>
            </w:pPr>
            <w:r w:rsidRPr="002C4FBB">
              <w:rPr>
                <w:rFonts w:ascii="Times New Roman Bold" w:hAnsi="Times New Roman Bold"/>
                <w:b/>
                <w:sz w:val="18"/>
                <w:szCs w:val="18"/>
              </w:rPr>
              <w:t>2015</w:t>
            </w:r>
          </w:p>
        </w:tc>
        <w:tc>
          <w:tcPr>
            <w:tcW w:w="792" w:type="dxa"/>
            <w:tcBorders>
              <w:top w:val="single" w:sz="12" w:space="0" w:color="000000"/>
              <w:bottom w:val="single" w:sz="12" w:space="0" w:color="000000"/>
            </w:tcBorders>
            <w:vAlign w:val="center"/>
          </w:tcPr>
          <w:p w:rsidR="00F079B9" w:rsidRPr="002C4FBB" w:rsidRDefault="00F079B9" w:rsidP="00E75F3D">
            <w:pPr>
              <w:kinsoku w:val="0"/>
              <w:overflowPunct w:val="0"/>
              <w:autoSpaceDE w:val="0"/>
              <w:autoSpaceDN w:val="0"/>
              <w:adjustRightInd w:val="0"/>
              <w:spacing w:before="60" w:after="60"/>
              <w:ind w:left="131"/>
              <w:rPr>
                <w:rFonts w:ascii="Times New Roman Bold" w:hAnsi="Times New Roman Bold"/>
                <w:b/>
                <w:sz w:val="18"/>
                <w:szCs w:val="18"/>
              </w:rPr>
            </w:pPr>
            <w:r w:rsidRPr="002C4FBB">
              <w:rPr>
                <w:rFonts w:ascii="Times New Roman Bold" w:hAnsi="Times New Roman Bold"/>
                <w:b/>
                <w:sz w:val="18"/>
                <w:szCs w:val="18"/>
              </w:rPr>
              <w:t>2016</w:t>
            </w:r>
          </w:p>
        </w:tc>
        <w:tc>
          <w:tcPr>
            <w:tcW w:w="792" w:type="dxa"/>
            <w:tcBorders>
              <w:top w:val="single" w:sz="12" w:space="0" w:color="000000"/>
              <w:bottom w:val="single" w:sz="12" w:space="0" w:color="000000"/>
            </w:tcBorders>
            <w:vAlign w:val="center"/>
          </w:tcPr>
          <w:p w:rsidR="00F079B9" w:rsidRPr="002C4FBB" w:rsidRDefault="00F079B9" w:rsidP="00E75F3D">
            <w:pPr>
              <w:kinsoku w:val="0"/>
              <w:overflowPunct w:val="0"/>
              <w:autoSpaceDE w:val="0"/>
              <w:autoSpaceDN w:val="0"/>
              <w:adjustRightInd w:val="0"/>
              <w:spacing w:before="60" w:after="60"/>
              <w:ind w:left="131"/>
              <w:rPr>
                <w:rFonts w:ascii="Times New Roman Bold" w:hAnsi="Times New Roman Bold"/>
                <w:b/>
                <w:sz w:val="18"/>
                <w:szCs w:val="18"/>
              </w:rPr>
            </w:pPr>
            <w:r w:rsidRPr="002C4FBB">
              <w:rPr>
                <w:rFonts w:ascii="Times New Roman Bold" w:hAnsi="Times New Roman Bold"/>
                <w:b/>
                <w:sz w:val="18"/>
                <w:szCs w:val="18"/>
              </w:rPr>
              <w:t>2017</w:t>
            </w:r>
          </w:p>
        </w:tc>
        <w:tc>
          <w:tcPr>
            <w:tcW w:w="792" w:type="dxa"/>
            <w:tcBorders>
              <w:top w:val="single" w:sz="12" w:space="0" w:color="000000"/>
              <w:bottom w:val="single" w:sz="12" w:space="0" w:color="000000"/>
            </w:tcBorders>
            <w:vAlign w:val="center"/>
          </w:tcPr>
          <w:p w:rsidR="00F079B9" w:rsidRPr="002C4FBB" w:rsidRDefault="00F079B9" w:rsidP="00E75F3D">
            <w:pPr>
              <w:kinsoku w:val="0"/>
              <w:overflowPunct w:val="0"/>
              <w:autoSpaceDE w:val="0"/>
              <w:autoSpaceDN w:val="0"/>
              <w:adjustRightInd w:val="0"/>
              <w:spacing w:before="60" w:after="60"/>
              <w:ind w:left="131"/>
              <w:rPr>
                <w:rFonts w:ascii="Times New Roman Bold" w:hAnsi="Times New Roman Bold"/>
                <w:b/>
                <w:sz w:val="18"/>
                <w:szCs w:val="18"/>
              </w:rPr>
            </w:pPr>
            <w:r w:rsidRPr="002C4FBB">
              <w:rPr>
                <w:rFonts w:ascii="Times New Roman Bold" w:hAnsi="Times New Roman Bold"/>
                <w:b/>
                <w:sz w:val="18"/>
                <w:szCs w:val="18"/>
              </w:rPr>
              <w:t>2018</w:t>
            </w:r>
          </w:p>
        </w:tc>
        <w:tc>
          <w:tcPr>
            <w:tcW w:w="792" w:type="dxa"/>
            <w:tcBorders>
              <w:top w:val="single" w:sz="12" w:space="0" w:color="000000"/>
              <w:bottom w:val="single" w:sz="12" w:space="0" w:color="000000"/>
            </w:tcBorders>
            <w:vAlign w:val="center"/>
          </w:tcPr>
          <w:p w:rsidR="00F079B9" w:rsidRPr="002C4FBB" w:rsidRDefault="00F079B9" w:rsidP="00E75F3D">
            <w:pPr>
              <w:kinsoku w:val="0"/>
              <w:overflowPunct w:val="0"/>
              <w:autoSpaceDE w:val="0"/>
              <w:autoSpaceDN w:val="0"/>
              <w:adjustRightInd w:val="0"/>
              <w:spacing w:before="60" w:after="60"/>
              <w:ind w:left="132"/>
              <w:rPr>
                <w:rFonts w:ascii="Times New Roman Bold" w:hAnsi="Times New Roman Bold"/>
                <w:b/>
                <w:sz w:val="18"/>
                <w:szCs w:val="18"/>
              </w:rPr>
            </w:pPr>
            <w:r w:rsidRPr="002C4FBB">
              <w:rPr>
                <w:rFonts w:ascii="Times New Roman Bold" w:hAnsi="Times New Roman Bold"/>
                <w:b/>
                <w:sz w:val="18"/>
                <w:szCs w:val="18"/>
              </w:rPr>
              <w:t>2019</w:t>
            </w:r>
          </w:p>
        </w:tc>
        <w:tc>
          <w:tcPr>
            <w:tcW w:w="792" w:type="dxa"/>
            <w:tcBorders>
              <w:top w:val="single" w:sz="12" w:space="0" w:color="000000"/>
              <w:bottom w:val="single" w:sz="12" w:space="0" w:color="000000"/>
            </w:tcBorders>
            <w:vAlign w:val="center"/>
          </w:tcPr>
          <w:p w:rsidR="00F079B9" w:rsidRPr="002C4FBB" w:rsidRDefault="00F079B9" w:rsidP="00E75F3D">
            <w:pPr>
              <w:kinsoku w:val="0"/>
              <w:overflowPunct w:val="0"/>
              <w:autoSpaceDE w:val="0"/>
              <w:autoSpaceDN w:val="0"/>
              <w:adjustRightInd w:val="0"/>
              <w:spacing w:before="60" w:after="60"/>
              <w:ind w:left="131"/>
              <w:rPr>
                <w:rFonts w:ascii="Times New Roman Bold" w:hAnsi="Times New Roman Bold"/>
                <w:b/>
                <w:sz w:val="18"/>
                <w:szCs w:val="18"/>
              </w:rPr>
            </w:pPr>
            <w:r w:rsidRPr="002C4FBB">
              <w:rPr>
                <w:rFonts w:ascii="Times New Roman Bold" w:hAnsi="Times New Roman Bold"/>
                <w:b/>
                <w:sz w:val="18"/>
                <w:szCs w:val="18"/>
              </w:rPr>
              <w:t>2020</w:t>
            </w:r>
          </w:p>
        </w:tc>
      </w:tr>
      <w:tr w:rsidR="00F079B9" w:rsidRPr="00B376EF" w:rsidTr="00B376EF">
        <w:trPr>
          <w:trHeight w:val="288"/>
          <w:jc w:val="center"/>
        </w:trPr>
        <w:tc>
          <w:tcPr>
            <w:tcW w:w="2988" w:type="dxa"/>
            <w:vAlign w:val="center"/>
          </w:tcPr>
          <w:p w:rsidR="00F079B9" w:rsidRPr="00B376EF" w:rsidRDefault="00F079B9" w:rsidP="00E75F3D">
            <w:pPr>
              <w:kinsoku w:val="0"/>
              <w:overflowPunct w:val="0"/>
              <w:autoSpaceDE w:val="0"/>
              <w:autoSpaceDN w:val="0"/>
              <w:adjustRightInd w:val="0"/>
              <w:spacing w:before="60" w:after="60"/>
              <w:ind w:left="-16"/>
              <w:rPr>
                <w:sz w:val="18"/>
                <w:szCs w:val="18"/>
              </w:rPr>
            </w:pPr>
            <w:r w:rsidRPr="00B376EF">
              <w:rPr>
                <w:sz w:val="18"/>
                <w:szCs w:val="18"/>
              </w:rPr>
              <w:t>Gas Use by CC Units</w:t>
            </w:r>
            <w:r w:rsidR="00F3707C" w:rsidRPr="00B376EF">
              <w:rPr>
                <w:sz w:val="18"/>
                <w:szCs w:val="18"/>
              </w:rPr>
              <w:t xml:space="preserve"> (million </w:t>
            </w:r>
            <w:r w:rsidR="002C4FBB" w:rsidRPr="00B376EF">
              <w:rPr>
                <w:sz w:val="18"/>
                <w:szCs w:val="18"/>
              </w:rPr>
              <w:t>CF</w:t>
            </w:r>
            <w:r w:rsidR="00F3707C" w:rsidRPr="00B376EF">
              <w:rPr>
                <w:sz w:val="18"/>
                <w:szCs w:val="18"/>
              </w:rPr>
              <w:t>)</w:t>
            </w:r>
          </w:p>
        </w:tc>
        <w:tc>
          <w:tcPr>
            <w:tcW w:w="791" w:type="dxa"/>
            <w:tcBorders>
              <w:top w:val="single" w:sz="12" w:space="0" w:color="000000"/>
              <w:bottom w:val="single" w:sz="4" w:space="0" w:color="000000"/>
            </w:tcBorders>
            <w:shd w:val="clear" w:color="auto" w:fill="auto"/>
            <w:vAlign w:val="center"/>
          </w:tcPr>
          <w:p w:rsidR="00F079B9" w:rsidRPr="00B376EF" w:rsidRDefault="00F3707C" w:rsidP="00E75F3D">
            <w:pPr>
              <w:kinsoku w:val="0"/>
              <w:overflowPunct w:val="0"/>
              <w:autoSpaceDE w:val="0"/>
              <w:autoSpaceDN w:val="0"/>
              <w:adjustRightInd w:val="0"/>
              <w:spacing w:before="60" w:after="60"/>
              <w:ind w:left="-26"/>
              <w:jc w:val="center"/>
              <w:rPr>
                <w:sz w:val="18"/>
                <w:szCs w:val="18"/>
              </w:rPr>
            </w:pPr>
            <w:r w:rsidRPr="00B376EF">
              <w:rPr>
                <w:sz w:val="18"/>
                <w:szCs w:val="18"/>
              </w:rPr>
              <w:t>546,386</w:t>
            </w:r>
          </w:p>
        </w:tc>
        <w:tc>
          <w:tcPr>
            <w:tcW w:w="792" w:type="dxa"/>
            <w:tcBorders>
              <w:top w:val="single" w:sz="12" w:space="0" w:color="000000"/>
              <w:bottom w:val="single" w:sz="4" w:space="0" w:color="000000"/>
            </w:tcBorders>
            <w:shd w:val="clear" w:color="auto" w:fill="auto"/>
            <w:vAlign w:val="center"/>
          </w:tcPr>
          <w:p w:rsidR="00F079B9" w:rsidRPr="00B376EF" w:rsidRDefault="00F3707C" w:rsidP="00E75F3D">
            <w:pPr>
              <w:kinsoku w:val="0"/>
              <w:overflowPunct w:val="0"/>
              <w:autoSpaceDE w:val="0"/>
              <w:autoSpaceDN w:val="0"/>
              <w:adjustRightInd w:val="0"/>
              <w:spacing w:before="60" w:after="60"/>
              <w:ind w:left="-26"/>
              <w:jc w:val="center"/>
              <w:rPr>
                <w:sz w:val="18"/>
                <w:szCs w:val="18"/>
              </w:rPr>
            </w:pPr>
            <w:r w:rsidRPr="00B376EF">
              <w:rPr>
                <w:sz w:val="18"/>
                <w:szCs w:val="18"/>
              </w:rPr>
              <w:t>514,793</w:t>
            </w:r>
          </w:p>
        </w:tc>
        <w:tc>
          <w:tcPr>
            <w:tcW w:w="792" w:type="dxa"/>
            <w:tcBorders>
              <w:top w:val="single" w:sz="12" w:space="0" w:color="000000"/>
              <w:bottom w:val="single" w:sz="4" w:space="0" w:color="000000"/>
            </w:tcBorders>
            <w:shd w:val="clear" w:color="auto" w:fill="auto"/>
            <w:vAlign w:val="center"/>
          </w:tcPr>
          <w:p w:rsidR="00F079B9" w:rsidRPr="00B376EF" w:rsidRDefault="00F3707C" w:rsidP="00E75F3D">
            <w:pPr>
              <w:kinsoku w:val="0"/>
              <w:overflowPunct w:val="0"/>
              <w:autoSpaceDE w:val="0"/>
              <w:autoSpaceDN w:val="0"/>
              <w:adjustRightInd w:val="0"/>
              <w:spacing w:before="60" w:after="60"/>
              <w:ind w:left="-26"/>
              <w:jc w:val="center"/>
              <w:rPr>
                <w:sz w:val="18"/>
                <w:szCs w:val="18"/>
              </w:rPr>
            </w:pPr>
            <w:r w:rsidRPr="00B376EF">
              <w:rPr>
                <w:sz w:val="18"/>
                <w:szCs w:val="18"/>
              </w:rPr>
              <w:t>544,967</w:t>
            </w:r>
          </w:p>
        </w:tc>
        <w:tc>
          <w:tcPr>
            <w:tcW w:w="792" w:type="dxa"/>
            <w:tcBorders>
              <w:top w:val="single" w:sz="12" w:space="0" w:color="000000"/>
              <w:bottom w:val="single" w:sz="4" w:space="0" w:color="000000"/>
            </w:tcBorders>
            <w:shd w:val="clear" w:color="auto" w:fill="auto"/>
            <w:vAlign w:val="center"/>
          </w:tcPr>
          <w:p w:rsidR="00F079B9" w:rsidRPr="00B376EF" w:rsidRDefault="00F3707C" w:rsidP="00E75F3D">
            <w:pPr>
              <w:kinsoku w:val="0"/>
              <w:overflowPunct w:val="0"/>
              <w:autoSpaceDE w:val="0"/>
              <w:autoSpaceDN w:val="0"/>
              <w:adjustRightInd w:val="0"/>
              <w:spacing w:before="60" w:after="60"/>
              <w:ind w:left="-26"/>
              <w:jc w:val="center"/>
              <w:rPr>
                <w:sz w:val="18"/>
                <w:szCs w:val="18"/>
              </w:rPr>
            </w:pPr>
            <w:r w:rsidRPr="00B376EF">
              <w:rPr>
                <w:sz w:val="18"/>
                <w:szCs w:val="18"/>
              </w:rPr>
              <w:t>534,847</w:t>
            </w:r>
          </w:p>
        </w:tc>
        <w:tc>
          <w:tcPr>
            <w:tcW w:w="792" w:type="dxa"/>
            <w:tcBorders>
              <w:top w:val="single" w:sz="12" w:space="0" w:color="000000"/>
              <w:bottom w:val="single" w:sz="4" w:space="0" w:color="000000"/>
            </w:tcBorders>
            <w:shd w:val="clear" w:color="auto" w:fill="auto"/>
            <w:vAlign w:val="center"/>
          </w:tcPr>
          <w:p w:rsidR="00F079B9" w:rsidRPr="00B376EF" w:rsidRDefault="00F3707C" w:rsidP="00E75F3D">
            <w:pPr>
              <w:kinsoku w:val="0"/>
              <w:overflowPunct w:val="0"/>
              <w:autoSpaceDE w:val="0"/>
              <w:autoSpaceDN w:val="0"/>
              <w:adjustRightInd w:val="0"/>
              <w:spacing w:before="60" w:after="60"/>
              <w:ind w:left="-26"/>
              <w:jc w:val="center"/>
              <w:rPr>
                <w:sz w:val="18"/>
                <w:szCs w:val="18"/>
              </w:rPr>
            </w:pPr>
            <w:r w:rsidRPr="00B376EF">
              <w:rPr>
                <w:sz w:val="18"/>
                <w:szCs w:val="18"/>
              </w:rPr>
              <w:t>571,277</w:t>
            </w:r>
          </w:p>
        </w:tc>
        <w:tc>
          <w:tcPr>
            <w:tcW w:w="792" w:type="dxa"/>
            <w:tcBorders>
              <w:top w:val="single" w:sz="12" w:space="0" w:color="000000"/>
              <w:bottom w:val="single" w:sz="4" w:space="0" w:color="000000"/>
            </w:tcBorders>
            <w:shd w:val="clear" w:color="auto" w:fill="auto"/>
            <w:vAlign w:val="center"/>
          </w:tcPr>
          <w:p w:rsidR="00F079B9" w:rsidRPr="00B376EF" w:rsidRDefault="00F3707C" w:rsidP="00E75F3D">
            <w:pPr>
              <w:kinsoku w:val="0"/>
              <w:overflowPunct w:val="0"/>
              <w:autoSpaceDE w:val="0"/>
              <w:autoSpaceDN w:val="0"/>
              <w:adjustRightInd w:val="0"/>
              <w:spacing w:before="60" w:after="60"/>
              <w:ind w:left="-26"/>
              <w:jc w:val="center"/>
              <w:rPr>
                <w:sz w:val="18"/>
                <w:szCs w:val="18"/>
              </w:rPr>
            </w:pPr>
            <w:r w:rsidRPr="00B376EF">
              <w:rPr>
                <w:sz w:val="18"/>
                <w:szCs w:val="18"/>
              </w:rPr>
              <w:t>567,674</w:t>
            </w:r>
          </w:p>
        </w:tc>
        <w:tc>
          <w:tcPr>
            <w:tcW w:w="792" w:type="dxa"/>
            <w:tcBorders>
              <w:top w:val="single" w:sz="12" w:space="0" w:color="000000"/>
              <w:bottom w:val="single" w:sz="4" w:space="0" w:color="000000"/>
            </w:tcBorders>
            <w:shd w:val="clear" w:color="auto" w:fill="auto"/>
            <w:vAlign w:val="center"/>
          </w:tcPr>
          <w:p w:rsidR="00F079B9" w:rsidRPr="00B376EF" w:rsidRDefault="00F3707C" w:rsidP="00E75F3D">
            <w:pPr>
              <w:kinsoku w:val="0"/>
              <w:overflowPunct w:val="0"/>
              <w:autoSpaceDE w:val="0"/>
              <w:autoSpaceDN w:val="0"/>
              <w:adjustRightInd w:val="0"/>
              <w:spacing w:before="60" w:after="60"/>
              <w:ind w:left="-26"/>
              <w:jc w:val="center"/>
              <w:rPr>
                <w:sz w:val="18"/>
                <w:szCs w:val="18"/>
              </w:rPr>
            </w:pPr>
            <w:r w:rsidRPr="00B376EF">
              <w:rPr>
                <w:sz w:val="18"/>
                <w:szCs w:val="18"/>
              </w:rPr>
              <w:t>568,822</w:t>
            </w:r>
          </w:p>
        </w:tc>
        <w:tc>
          <w:tcPr>
            <w:tcW w:w="792" w:type="dxa"/>
            <w:tcBorders>
              <w:top w:val="single" w:sz="12" w:space="0" w:color="000000"/>
              <w:bottom w:val="single" w:sz="4" w:space="0" w:color="000000"/>
            </w:tcBorders>
            <w:shd w:val="clear" w:color="auto" w:fill="auto"/>
            <w:vAlign w:val="center"/>
          </w:tcPr>
          <w:p w:rsidR="00F079B9" w:rsidRPr="00B376EF" w:rsidRDefault="00F3707C" w:rsidP="00E75F3D">
            <w:pPr>
              <w:kinsoku w:val="0"/>
              <w:overflowPunct w:val="0"/>
              <w:autoSpaceDE w:val="0"/>
              <w:autoSpaceDN w:val="0"/>
              <w:adjustRightInd w:val="0"/>
              <w:spacing w:before="60" w:after="60"/>
              <w:ind w:left="-26"/>
              <w:jc w:val="center"/>
              <w:rPr>
                <w:sz w:val="18"/>
                <w:szCs w:val="18"/>
              </w:rPr>
            </w:pPr>
            <w:r w:rsidRPr="00B376EF">
              <w:rPr>
                <w:sz w:val="18"/>
                <w:szCs w:val="18"/>
              </w:rPr>
              <w:t>575,025</w:t>
            </w:r>
          </w:p>
        </w:tc>
        <w:tc>
          <w:tcPr>
            <w:tcW w:w="792" w:type="dxa"/>
            <w:tcBorders>
              <w:top w:val="single" w:sz="12" w:space="0" w:color="000000"/>
              <w:bottom w:val="single" w:sz="4" w:space="0" w:color="000000"/>
            </w:tcBorders>
            <w:shd w:val="clear" w:color="auto" w:fill="auto"/>
            <w:vAlign w:val="center"/>
          </w:tcPr>
          <w:p w:rsidR="00F079B9" w:rsidRPr="00B376EF" w:rsidRDefault="00F3707C" w:rsidP="00E75F3D">
            <w:pPr>
              <w:kinsoku w:val="0"/>
              <w:overflowPunct w:val="0"/>
              <w:autoSpaceDE w:val="0"/>
              <w:autoSpaceDN w:val="0"/>
              <w:adjustRightInd w:val="0"/>
              <w:spacing w:before="60" w:after="60"/>
              <w:ind w:left="-26"/>
              <w:jc w:val="center"/>
              <w:rPr>
                <w:sz w:val="18"/>
                <w:szCs w:val="18"/>
              </w:rPr>
            </w:pPr>
            <w:r w:rsidRPr="00B376EF">
              <w:rPr>
                <w:sz w:val="18"/>
                <w:szCs w:val="18"/>
              </w:rPr>
              <w:t>590,083</w:t>
            </w:r>
          </w:p>
        </w:tc>
      </w:tr>
      <w:tr w:rsidR="002C4FBB" w:rsidRPr="002C4FBB" w:rsidTr="00B376EF">
        <w:trPr>
          <w:trHeight w:val="288"/>
          <w:jc w:val="center"/>
        </w:trPr>
        <w:tc>
          <w:tcPr>
            <w:tcW w:w="2988" w:type="dxa"/>
            <w:tcBorders>
              <w:bottom w:val="single" w:sz="12" w:space="0" w:color="000000"/>
            </w:tcBorders>
            <w:vAlign w:val="center"/>
          </w:tcPr>
          <w:p w:rsidR="002C4FBB" w:rsidRPr="00DC0E63" w:rsidRDefault="002C4FBB" w:rsidP="00E75F3D">
            <w:pPr>
              <w:kinsoku w:val="0"/>
              <w:overflowPunct w:val="0"/>
              <w:autoSpaceDE w:val="0"/>
              <w:autoSpaceDN w:val="0"/>
              <w:adjustRightInd w:val="0"/>
              <w:spacing w:before="60" w:after="60"/>
              <w:ind w:left="-16"/>
              <w:rPr>
                <w:b/>
                <w:spacing w:val="-3"/>
                <w:w w:val="90"/>
                <w:sz w:val="18"/>
                <w:szCs w:val="18"/>
                <w:vertAlign w:val="superscript"/>
              </w:rPr>
            </w:pPr>
            <w:r w:rsidRPr="00B376EF">
              <w:rPr>
                <w:sz w:val="18"/>
                <w:szCs w:val="18"/>
              </w:rPr>
              <w:t>Generation from CC Units (GWh)</w:t>
            </w:r>
            <w:r w:rsidR="00DC0E63">
              <w:rPr>
                <w:sz w:val="18"/>
                <w:szCs w:val="18"/>
              </w:rPr>
              <w:t xml:space="preserve"> </w:t>
            </w:r>
            <w:r w:rsidR="00DC0E63">
              <w:rPr>
                <w:b/>
                <w:sz w:val="18"/>
                <w:szCs w:val="18"/>
                <w:vertAlign w:val="superscript"/>
              </w:rPr>
              <w:t>2</w:t>
            </w:r>
          </w:p>
        </w:tc>
        <w:tc>
          <w:tcPr>
            <w:tcW w:w="791" w:type="dxa"/>
            <w:tcBorders>
              <w:top w:val="single" w:sz="4" w:space="0" w:color="000000"/>
              <w:bottom w:val="single" w:sz="12" w:space="0" w:color="000000"/>
            </w:tcBorders>
            <w:vAlign w:val="center"/>
          </w:tcPr>
          <w:p w:rsidR="002C4FBB" w:rsidRPr="002C4FBB" w:rsidRDefault="002C4FBB" w:rsidP="00E75F3D">
            <w:pPr>
              <w:spacing w:before="60" w:after="60"/>
              <w:jc w:val="center"/>
              <w:rPr>
                <w:sz w:val="18"/>
                <w:szCs w:val="18"/>
              </w:rPr>
            </w:pPr>
            <w:r w:rsidRPr="002C4FBB">
              <w:rPr>
                <w:sz w:val="18"/>
                <w:szCs w:val="18"/>
              </w:rPr>
              <w:t>74,668</w:t>
            </w:r>
          </w:p>
        </w:tc>
        <w:tc>
          <w:tcPr>
            <w:tcW w:w="792" w:type="dxa"/>
            <w:tcBorders>
              <w:top w:val="single" w:sz="4" w:space="0" w:color="000000"/>
              <w:bottom w:val="single" w:sz="12" w:space="0" w:color="000000"/>
            </w:tcBorders>
            <w:vAlign w:val="center"/>
          </w:tcPr>
          <w:p w:rsidR="002C4FBB" w:rsidRPr="002C4FBB" w:rsidRDefault="002C4FBB" w:rsidP="00E75F3D">
            <w:pPr>
              <w:spacing w:before="60" w:after="60"/>
              <w:jc w:val="center"/>
              <w:rPr>
                <w:sz w:val="18"/>
                <w:szCs w:val="18"/>
              </w:rPr>
            </w:pPr>
            <w:r w:rsidRPr="002C4FBB">
              <w:rPr>
                <w:sz w:val="18"/>
                <w:szCs w:val="18"/>
              </w:rPr>
              <w:t>72,308</w:t>
            </w:r>
          </w:p>
        </w:tc>
        <w:tc>
          <w:tcPr>
            <w:tcW w:w="792" w:type="dxa"/>
            <w:tcBorders>
              <w:top w:val="single" w:sz="4" w:space="0" w:color="000000"/>
              <w:bottom w:val="single" w:sz="12" w:space="0" w:color="000000"/>
            </w:tcBorders>
            <w:vAlign w:val="center"/>
          </w:tcPr>
          <w:p w:rsidR="002C4FBB" w:rsidRPr="002C4FBB" w:rsidRDefault="002C4FBB" w:rsidP="00E75F3D">
            <w:pPr>
              <w:spacing w:before="60" w:after="60"/>
              <w:jc w:val="center"/>
              <w:rPr>
                <w:sz w:val="18"/>
                <w:szCs w:val="18"/>
              </w:rPr>
            </w:pPr>
            <w:r w:rsidRPr="002C4FBB">
              <w:rPr>
                <w:sz w:val="18"/>
                <w:szCs w:val="18"/>
              </w:rPr>
              <w:t>77,722</w:t>
            </w:r>
          </w:p>
        </w:tc>
        <w:tc>
          <w:tcPr>
            <w:tcW w:w="792" w:type="dxa"/>
            <w:tcBorders>
              <w:top w:val="single" w:sz="4" w:space="0" w:color="000000"/>
              <w:bottom w:val="single" w:sz="12" w:space="0" w:color="000000"/>
            </w:tcBorders>
            <w:vAlign w:val="center"/>
          </w:tcPr>
          <w:p w:rsidR="002C4FBB" w:rsidRPr="002C4FBB" w:rsidRDefault="002C4FBB" w:rsidP="00E75F3D">
            <w:pPr>
              <w:spacing w:before="60" w:after="60"/>
              <w:jc w:val="center"/>
              <w:rPr>
                <w:sz w:val="18"/>
                <w:szCs w:val="18"/>
              </w:rPr>
            </w:pPr>
            <w:r w:rsidRPr="002C4FBB">
              <w:rPr>
                <w:sz w:val="18"/>
                <w:szCs w:val="18"/>
              </w:rPr>
              <w:t>77,131</w:t>
            </w:r>
          </w:p>
        </w:tc>
        <w:tc>
          <w:tcPr>
            <w:tcW w:w="792" w:type="dxa"/>
            <w:tcBorders>
              <w:top w:val="single" w:sz="4" w:space="0" w:color="000000"/>
              <w:bottom w:val="single" w:sz="12" w:space="0" w:color="000000"/>
            </w:tcBorders>
            <w:vAlign w:val="center"/>
          </w:tcPr>
          <w:p w:rsidR="002C4FBB" w:rsidRPr="002C4FBB" w:rsidRDefault="002C4FBB" w:rsidP="00E75F3D">
            <w:pPr>
              <w:spacing w:before="60" w:after="60"/>
              <w:jc w:val="center"/>
              <w:rPr>
                <w:sz w:val="18"/>
                <w:szCs w:val="18"/>
              </w:rPr>
            </w:pPr>
            <w:r w:rsidRPr="002C4FBB">
              <w:rPr>
                <w:sz w:val="18"/>
                <w:szCs w:val="18"/>
              </w:rPr>
              <w:t>83,029</w:t>
            </w:r>
          </w:p>
        </w:tc>
        <w:tc>
          <w:tcPr>
            <w:tcW w:w="792" w:type="dxa"/>
            <w:tcBorders>
              <w:top w:val="single" w:sz="4" w:space="0" w:color="000000"/>
              <w:bottom w:val="single" w:sz="12" w:space="0" w:color="000000"/>
            </w:tcBorders>
            <w:vAlign w:val="center"/>
          </w:tcPr>
          <w:p w:rsidR="002C4FBB" w:rsidRPr="002C4FBB" w:rsidRDefault="002C4FBB" w:rsidP="00E75F3D">
            <w:pPr>
              <w:spacing w:before="60" w:after="60"/>
              <w:jc w:val="center"/>
              <w:rPr>
                <w:sz w:val="18"/>
                <w:szCs w:val="18"/>
              </w:rPr>
            </w:pPr>
            <w:r w:rsidRPr="002C4FBB">
              <w:rPr>
                <w:sz w:val="18"/>
                <w:szCs w:val="18"/>
              </w:rPr>
              <w:t>82,978</w:t>
            </w:r>
          </w:p>
        </w:tc>
        <w:tc>
          <w:tcPr>
            <w:tcW w:w="792" w:type="dxa"/>
            <w:tcBorders>
              <w:top w:val="single" w:sz="4" w:space="0" w:color="000000"/>
              <w:bottom w:val="single" w:sz="12" w:space="0" w:color="000000"/>
            </w:tcBorders>
            <w:vAlign w:val="center"/>
          </w:tcPr>
          <w:p w:rsidR="002C4FBB" w:rsidRPr="002C4FBB" w:rsidRDefault="002C4FBB" w:rsidP="00E75F3D">
            <w:pPr>
              <w:spacing w:before="60" w:after="60"/>
              <w:jc w:val="center"/>
              <w:rPr>
                <w:sz w:val="18"/>
                <w:szCs w:val="18"/>
              </w:rPr>
            </w:pPr>
            <w:r w:rsidRPr="002C4FBB">
              <w:rPr>
                <w:sz w:val="18"/>
                <w:szCs w:val="18"/>
              </w:rPr>
              <w:t>84,412</w:t>
            </w:r>
          </w:p>
        </w:tc>
        <w:tc>
          <w:tcPr>
            <w:tcW w:w="792" w:type="dxa"/>
            <w:tcBorders>
              <w:top w:val="single" w:sz="4" w:space="0" w:color="000000"/>
              <w:bottom w:val="single" w:sz="12" w:space="0" w:color="000000"/>
            </w:tcBorders>
            <w:vAlign w:val="center"/>
          </w:tcPr>
          <w:p w:rsidR="002C4FBB" w:rsidRPr="002C4FBB" w:rsidRDefault="002C4FBB" w:rsidP="00E75F3D">
            <w:pPr>
              <w:spacing w:before="60" w:after="60"/>
              <w:jc w:val="center"/>
              <w:rPr>
                <w:sz w:val="18"/>
                <w:szCs w:val="18"/>
              </w:rPr>
            </w:pPr>
            <w:r w:rsidRPr="002C4FBB">
              <w:rPr>
                <w:sz w:val="18"/>
                <w:szCs w:val="18"/>
              </w:rPr>
              <w:t>86,994</w:t>
            </w:r>
          </w:p>
        </w:tc>
        <w:tc>
          <w:tcPr>
            <w:tcW w:w="792" w:type="dxa"/>
            <w:tcBorders>
              <w:top w:val="single" w:sz="4" w:space="0" w:color="000000"/>
              <w:bottom w:val="single" w:sz="12" w:space="0" w:color="000000"/>
            </w:tcBorders>
            <w:vAlign w:val="center"/>
          </w:tcPr>
          <w:p w:rsidR="002C4FBB" w:rsidRPr="002C4FBB" w:rsidRDefault="002C4FBB" w:rsidP="00E75F3D">
            <w:pPr>
              <w:spacing w:before="60" w:after="60"/>
              <w:jc w:val="center"/>
              <w:rPr>
                <w:sz w:val="18"/>
                <w:szCs w:val="18"/>
              </w:rPr>
            </w:pPr>
            <w:r w:rsidRPr="002C4FBB">
              <w:rPr>
                <w:sz w:val="18"/>
                <w:szCs w:val="18"/>
              </w:rPr>
              <w:t>87,519</w:t>
            </w:r>
          </w:p>
        </w:tc>
      </w:tr>
      <w:tr w:rsidR="00B376EF" w:rsidRPr="002C4FBB" w:rsidTr="00B376EF">
        <w:trPr>
          <w:trHeight w:val="288"/>
          <w:jc w:val="center"/>
        </w:trPr>
        <w:tc>
          <w:tcPr>
            <w:tcW w:w="2988" w:type="dxa"/>
            <w:tcBorders>
              <w:top w:val="single" w:sz="12" w:space="0" w:color="000000"/>
              <w:bottom w:val="single" w:sz="4" w:space="0" w:color="000000"/>
            </w:tcBorders>
          </w:tcPr>
          <w:p w:rsidR="00B376EF" w:rsidRPr="001F3804" w:rsidRDefault="00B376EF" w:rsidP="00E75F3D">
            <w:pPr>
              <w:spacing w:before="60" w:after="60"/>
            </w:pPr>
            <w:r w:rsidRPr="001F3804">
              <w:t>Gas Use</w:t>
            </w:r>
            <w:r w:rsidR="00E75F3D">
              <w:t>,</w:t>
            </w:r>
            <w:r w:rsidRPr="001F3804">
              <w:t xml:space="preserve"> </w:t>
            </w:r>
            <w:r w:rsidR="00E75F3D">
              <w:t xml:space="preserve">FM </w:t>
            </w:r>
            <w:r>
              <w:t>Unit</w:t>
            </w:r>
            <w:r w:rsidR="00E75F3D">
              <w:t xml:space="preserve"> 2</w:t>
            </w:r>
            <w:r w:rsidRPr="001F3804">
              <w:t xml:space="preserve"> (million CF)</w:t>
            </w:r>
          </w:p>
        </w:tc>
        <w:tc>
          <w:tcPr>
            <w:tcW w:w="791" w:type="dxa"/>
            <w:tcBorders>
              <w:top w:val="single" w:sz="12" w:space="0" w:color="000000"/>
              <w:bottom w:val="single" w:sz="4" w:space="0" w:color="000000"/>
            </w:tcBorders>
          </w:tcPr>
          <w:p w:rsidR="00B376EF" w:rsidRPr="002C4FBB" w:rsidRDefault="004C5C55" w:rsidP="00E75F3D">
            <w:pPr>
              <w:spacing w:before="60" w:after="60"/>
              <w:jc w:val="center"/>
              <w:rPr>
                <w:sz w:val="18"/>
                <w:szCs w:val="18"/>
              </w:rPr>
            </w:pPr>
            <w:r>
              <w:rPr>
                <w:sz w:val="18"/>
                <w:szCs w:val="18"/>
              </w:rPr>
              <w:t>64,333</w:t>
            </w:r>
          </w:p>
        </w:tc>
        <w:tc>
          <w:tcPr>
            <w:tcW w:w="792" w:type="dxa"/>
            <w:tcBorders>
              <w:top w:val="single" w:sz="12" w:space="0" w:color="000000"/>
              <w:bottom w:val="single" w:sz="4" w:space="0" w:color="000000"/>
            </w:tcBorders>
          </w:tcPr>
          <w:p w:rsidR="00B376EF" w:rsidRPr="002C4FBB" w:rsidRDefault="004C5C55" w:rsidP="00E75F3D">
            <w:pPr>
              <w:spacing w:before="60" w:after="60"/>
              <w:jc w:val="center"/>
              <w:rPr>
                <w:sz w:val="18"/>
                <w:szCs w:val="18"/>
              </w:rPr>
            </w:pPr>
            <w:r>
              <w:rPr>
                <w:sz w:val="18"/>
                <w:szCs w:val="18"/>
              </w:rPr>
              <w:t>53,410</w:t>
            </w:r>
          </w:p>
        </w:tc>
        <w:tc>
          <w:tcPr>
            <w:tcW w:w="792" w:type="dxa"/>
            <w:tcBorders>
              <w:top w:val="single" w:sz="12" w:space="0" w:color="000000"/>
              <w:bottom w:val="single" w:sz="4" w:space="0" w:color="000000"/>
            </w:tcBorders>
          </w:tcPr>
          <w:p w:rsidR="00B376EF" w:rsidRPr="002C4FBB" w:rsidRDefault="00B376EF" w:rsidP="00E75F3D">
            <w:pPr>
              <w:spacing w:before="60" w:after="60"/>
              <w:jc w:val="center"/>
              <w:rPr>
                <w:sz w:val="18"/>
                <w:szCs w:val="18"/>
              </w:rPr>
            </w:pPr>
          </w:p>
        </w:tc>
        <w:tc>
          <w:tcPr>
            <w:tcW w:w="792" w:type="dxa"/>
            <w:tcBorders>
              <w:top w:val="single" w:sz="12" w:space="0" w:color="000000"/>
              <w:bottom w:val="single" w:sz="4" w:space="0" w:color="000000"/>
            </w:tcBorders>
          </w:tcPr>
          <w:p w:rsidR="00B376EF" w:rsidRPr="002C4FBB" w:rsidRDefault="00B376EF" w:rsidP="00E75F3D">
            <w:pPr>
              <w:spacing w:before="60" w:after="60"/>
              <w:jc w:val="center"/>
              <w:rPr>
                <w:sz w:val="18"/>
                <w:szCs w:val="18"/>
              </w:rPr>
            </w:pPr>
          </w:p>
        </w:tc>
        <w:tc>
          <w:tcPr>
            <w:tcW w:w="792" w:type="dxa"/>
            <w:tcBorders>
              <w:top w:val="single" w:sz="12" w:space="0" w:color="000000"/>
              <w:bottom w:val="single" w:sz="4" w:space="0" w:color="000000"/>
            </w:tcBorders>
          </w:tcPr>
          <w:p w:rsidR="00B376EF" w:rsidRPr="002C4FBB" w:rsidRDefault="004C5C55" w:rsidP="00E75F3D">
            <w:pPr>
              <w:spacing w:before="60" w:after="60"/>
              <w:jc w:val="center"/>
              <w:rPr>
                <w:sz w:val="18"/>
                <w:szCs w:val="18"/>
              </w:rPr>
            </w:pPr>
            <w:r>
              <w:rPr>
                <w:sz w:val="18"/>
                <w:szCs w:val="18"/>
              </w:rPr>
              <w:t>60,740</w:t>
            </w:r>
          </w:p>
        </w:tc>
        <w:tc>
          <w:tcPr>
            <w:tcW w:w="792" w:type="dxa"/>
            <w:tcBorders>
              <w:top w:val="single" w:sz="12" w:space="0" w:color="000000"/>
              <w:bottom w:val="single" w:sz="4" w:space="0" w:color="000000"/>
            </w:tcBorders>
          </w:tcPr>
          <w:p w:rsidR="00B376EF" w:rsidRPr="002C4FBB" w:rsidRDefault="004C5C55" w:rsidP="00E75F3D">
            <w:pPr>
              <w:spacing w:before="60" w:after="60"/>
              <w:jc w:val="center"/>
              <w:rPr>
                <w:sz w:val="18"/>
                <w:szCs w:val="18"/>
              </w:rPr>
            </w:pPr>
            <w:r>
              <w:rPr>
                <w:sz w:val="18"/>
                <w:szCs w:val="18"/>
              </w:rPr>
              <w:t>52,344</w:t>
            </w:r>
          </w:p>
        </w:tc>
        <w:tc>
          <w:tcPr>
            <w:tcW w:w="792" w:type="dxa"/>
            <w:tcBorders>
              <w:top w:val="single" w:sz="12" w:space="0" w:color="000000"/>
              <w:bottom w:val="single" w:sz="4" w:space="0" w:color="000000"/>
            </w:tcBorders>
          </w:tcPr>
          <w:p w:rsidR="00B376EF" w:rsidRPr="002C4FBB" w:rsidRDefault="004C5C55" w:rsidP="00E75F3D">
            <w:pPr>
              <w:spacing w:before="60" w:after="60"/>
              <w:jc w:val="center"/>
              <w:rPr>
                <w:sz w:val="18"/>
                <w:szCs w:val="18"/>
              </w:rPr>
            </w:pPr>
            <w:r>
              <w:rPr>
                <w:sz w:val="18"/>
                <w:szCs w:val="18"/>
              </w:rPr>
              <w:t>48,205</w:t>
            </w:r>
          </w:p>
        </w:tc>
        <w:tc>
          <w:tcPr>
            <w:tcW w:w="792" w:type="dxa"/>
            <w:tcBorders>
              <w:top w:val="single" w:sz="12" w:space="0" w:color="000000"/>
              <w:bottom w:val="single" w:sz="4" w:space="0" w:color="000000"/>
            </w:tcBorders>
          </w:tcPr>
          <w:p w:rsidR="00B376EF" w:rsidRPr="002C4FBB" w:rsidRDefault="004C5C55" w:rsidP="00E75F3D">
            <w:pPr>
              <w:spacing w:before="60" w:after="60"/>
              <w:jc w:val="center"/>
              <w:rPr>
                <w:sz w:val="18"/>
                <w:szCs w:val="18"/>
              </w:rPr>
            </w:pPr>
            <w:r>
              <w:rPr>
                <w:sz w:val="18"/>
                <w:szCs w:val="18"/>
              </w:rPr>
              <w:t>38,952</w:t>
            </w:r>
          </w:p>
        </w:tc>
        <w:tc>
          <w:tcPr>
            <w:tcW w:w="792" w:type="dxa"/>
            <w:tcBorders>
              <w:top w:val="single" w:sz="12" w:space="0" w:color="000000"/>
              <w:bottom w:val="single" w:sz="4" w:space="0" w:color="000000"/>
            </w:tcBorders>
          </w:tcPr>
          <w:p w:rsidR="00B376EF" w:rsidRPr="002C4FBB" w:rsidRDefault="004C5C55" w:rsidP="00E75F3D">
            <w:pPr>
              <w:spacing w:before="60" w:after="60"/>
              <w:jc w:val="center"/>
              <w:rPr>
                <w:sz w:val="18"/>
                <w:szCs w:val="18"/>
              </w:rPr>
            </w:pPr>
            <w:r>
              <w:rPr>
                <w:sz w:val="18"/>
                <w:szCs w:val="18"/>
              </w:rPr>
              <w:t>37,272</w:t>
            </w:r>
          </w:p>
        </w:tc>
      </w:tr>
      <w:tr w:rsidR="00B376EF" w:rsidRPr="002C4FBB" w:rsidTr="00004AA3">
        <w:trPr>
          <w:trHeight w:val="288"/>
          <w:jc w:val="center"/>
        </w:trPr>
        <w:tc>
          <w:tcPr>
            <w:tcW w:w="2988" w:type="dxa"/>
            <w:tcBorders>
              <w:top w:val="single" w:sz="4" w:space="0" w:color="000000"/>
              <w:bottom w:val="single" w:sz="12" w:space="0" w:color="000000"/>
            </w:tcBorders>
          </w:tcPr>
          <w:p w:rsidR="00B376EF" w:rsidRDefault="00B376EF" w:rsidP="00E75F3D">
            <w:pPr>
              <w:spacing w:before="60" w:after="60"/>
            </w:pPr>
            <w:r w:rsidRPr="001F3804">
              <w:t>Generation</w:t>
            </w:r>
            <w:r w:rsidR="00E75F3D">
              <w:t>, F</w:t>
            </w:r>
            <w:r>
              <w:t xml:space="preserve">M </w:t>
            </w:r>
            <w:r w:rsidR="00E75F3D">
              <w:t xml:space="preserve">Unit </w:t>
            </w:r>
            <w:r>
              <w:t xml:space="preserve">2 </w:t>
            </w:r>
            <w:r w:rsidRPr="001F3804">
              <w:t>(GWh)</w:t>
            </w:r>
          </w:p>
        </w:tc>
        <w:tc>
          <w:tcPr>
            <w:tcW w:w="791" w:type="dxa"/>
            <w:tcBorders>
              <w:top w:val="single" w:sz="4" w:space="0" w:color="000000"/>
              <w:bottom w:val="single" w:sz="12" w:space="0" w:color="000000"/>
            </w:tcBorders>
            <w:vAlign w:val="center"/>
          </w:tcPr>
          <w:p w:rsidR="00B376EF" w:rsidRPr="002C4FBB" w:rsidRDefault="00F77AD5" w:rsidP="00E75F3D">
            <w:pPr>
              <w:kinsoku w:val="0"/>
              <w:overflowPunct w:val="0"/>
              <w:autoSpaceDE w:val="0"/>
              <w:autoSpaceDN w:val="0"/>
              <w:adjustRightInd w:val="0"/>
              <w:spacing w:before="60" w:after="60"/>
              <w:ind w:left="-26"/>
              <w:jc w:val="center"/>
              <w:rPr>
                <w:w w:val="90"/>
                <w:sz w:val="18"/>
                <w:szCs w:val="18"/>
              </w:rPr>
            </w:pPr>
            <w:r>
              <w:rPr>
                <w:w w:val="90"/>
                <w:sz w:val="18"/>
                <w:szCs w:val="18"/>
              </w:rPr>
              <w:t>9,027</w:t>
            </w:r>
          </w:p>
        </w:tc>
        <w:tc>
          <w:tcPr>
            <w:tcW w:w="792" w:type="dxa"/>
            <w:tcBorders>
              <w:top w:val="single" w:sz="4" w:space="0" w:color="000000"/>
              <w:bottom w:val="single" w:sz="12" w:space="0" w:color="000000"/>
            </w:tcBorders>
            <w:vAlign w:val="center"/>
          </w:tcPr>
          <w:p w:rsidR="00B376EF" w:rsidRPr="002C4FBB" w:rsidRDefault="00F77AD5" w:rsidP="00E75F3D">
            <w:pPr>
              <w:kinsoku w:val="0"/>
              <w:overflowPunct w:val="0"/>
              <w:autoSpaceDE w:val="0"/>
              <w:autoSpaceDN w:val="0"/>
              <w:adjustRightInd w:val="0"/>
              <w:spacing w:before="60" w:after="60"/>
              <w:ind w:left="-26"/>
              <w:jc w:val="center"/>
              <w:rPr>
                <w:w w:val="90"/>
                <w:sz w:val="18"/>
                <w:szCs w:val="18"/>
              </w:rPr>
            </w:pPr>
            <w:r>
              <w:rPr>
                <w:w w:val="90"/>
                <w:sz w:val="18"/>
                <w:szCs w:val="18"/>
              </w:rPr>
              <w:t>7,181</w:t>
            </w:r>
          </w:p>
        </w:tc>
        <w:tc>
          <w:tcPr>
            <w:tcW w:w="792" w:type="dxa"/>
            <w:tcBorders>
              <w:top w:val="single" w:sz="4" w:space="0" w:color="000000"/>
              <w:bottom w:val="single" w:sz="12" w:space="0" w:color="000000"/>
            </w:tcBorders>
            <w:vAlign w:val="center"/>
          </w:tcPr>
          <w:p w:rsidR="00B376EF" w:rsidRPr="002C4FBB" w:rsidRDefault="00B376EF" w:rsidP="00E75F3D">
            <w:pPr>
              <w:kinsoku w:val="0"/>
              <w:overflowPunct w:val="0"/>
              <w:autoSpaceDE w:val="0"/>
              <w:autoSpaceDN w:val="0"/>
              <w:adjustRightInd w:val="0"/>
              <w:spacing w:before="60" w:after="60"/>
              <w:ind w:left="-26"/>
              <w:jc w:val="center"/>
              <w:rPr>
                <w:w w:val="90"/>
                <w:sz w:val="18"/>
                <w:szCs w:val="18"/>
              </w:rPr>
            </w:pPr>
          </w:p>
        </w:tc>
        <w:tc>
          <w:tcPr>
            <w:tcW w:w="792" w:type="dxa"/>
            <w:tcBorders>
              <w:top w:val="single" w:sz="4" w:space="0" w:color="000000"/>
              <w:bottom w:val="single" w:sz="12" w:space="0" w:color="000000"/>
            </w:tcBorders>
            <w:vAlign w:val="center"/>
          </w:tcPr>
          <w:p w:rsidR="00B376EF" w:rsidRPr="002C4FBB" w:rsidRDefault="00B376EF" w:rsidP="00E75F3D">
            <w:pPr>
              <w:kinsoku w:val="0"/>
              <w:overflowPunct w:val="0"/>
              <w:autoSpaceDE w:val="0"/>
              <w:autoSpaceDN w:val="0"/>
              <w:adjustRightInd w:val="0"/>
              <w:spacing w:before="60" w:after="60"/>
              <w:ind w:left="-26"/>
              <w:jc w:val="center"/>
              <w:rPr>
                <w:w w:val="90"/>
                <w:sz w:val="18"/>
                <w:szCs w:val="18"/>
              </w:rPr>
            </w:pPr>
          </w:p>
        </w:tc>
        <w:tc>
          <w:tcPr>
            <w:tcW w:w="792" w:type="dxa"/>
            <w:tcBorders>
              <w:top w:val="single" w:sz="4" w:space="0" w:color="000000"/>
              <w:bottom w:val="single" w:sz="12" w:space="0" w:color="000000"/>
            </w:tcBorders>
            <w:vAlign w:val="center"/>
          </w:tcPr>
          <w:p w:rsidR="00B376EF" w:rsidRPr="002C4FBB" w:rsidRDefault="00F77AD5" w:rsidP="00E75F3D">
            <w:pPr>
              <w:kinsoku w:val="0"/>
              <w:overflowPunct w:val="0"/>
              <w:autoSpaceDE w:val="0"/>
              <w:autoSpaceDN w:val="0"/>
              <w:adjustRightInd w:val="0"/>
              <w:spacing w:before="60" w:after="60"/>
              <w:ind w:left="-26"/>
              <w:jc w:val="center"/>
              <w:rPr>
                <w:w w:val="90"/>
                <w:sz w:val="18"/>
                <w:szCs w:val="18"/>
              </w:rPr>
            </w:pPr>
            <w:r>
              <w:rPr>
                <w:w w:val="90"/>
                <w:sz w:val="18"/>
                <w:szCs w:val="18"/>
              </w:rPr>
              <w:t>8,687</w:t>
            </w:r>
          </w:p>
        </w:tc>
        <w:tc>
          <w:tcPr>
            <w:tcW w:w="792" w:type="dxa"/>
            <w:tcBorders>
              <w:top w:val="single" w:sz="4" w:space="0" w:color="000000"/>
              <w:bottom w:val="single" w:sz="12" w:space="0" w:color="000000"/>
            </w:tcBorders>
            <w:vAlign w:val="center"/>
          </w:tcPr>
          <w:p w:rsidR="00B376EF" w:rsidRPr="002C4FBB" w:rsidRDefault="00F77AD5" w:rsidP="00E75F3D">
            <w:pPr>
              <w:kinsoku w:val="0"/>
              <w:overflowPunct w:val="0"/>
              <w:autoSpaceDE w:val="0"/>
              <w:autoSpaceDN w:val="0"/>
              <w:adjustRightInd w:val="0"/>
              <w:spacing w:before="60" w:after="60"/>
              <w:ind w:left="-26"/>
              <w:jc w:val="center"/>
              <w:rPr>
                <w:w w:val="90"/>
                <w:sz w:val="18"/>
                <w:szCs w:val="18"/>
              </w:rPr>
            </w:pPr>
            <w:r>
              <w:rPr>
                <w:w w:val="90"/>
                <w:sz w:val="18"/>
                <w:szCs w:val="18"/>
              </w:rPr>
              <w:t>7,486</w:t>
            </w:r>
          </w:p>
        </w:tc>
        <w:tc>
          <w:tcPr>
            <w:tcW w:w="792" w:type="dxa"/>
            <w:tcBorders>
              <w:top w:val="single" w:sz="4" w:space="0" w:color="000000"/>
              <w:bottom w:val="single" w:sz="12" w:space="0" w:color="000000"/>
            </w:tcBorders>
            <w:vAlign w:val="center"/>
          </w:tcPr>
          <w:p w:rsidR="00B376EF" w:rsidRPr="002C4FBB" w:rsidRDefault="00F77AD5" w:rsidP="00E75F3D">
            <w:pPr>
              <w:kinsoku w:val="0"/>
              <w:overflowPunct w:val="0"/>
              <w:autoSpaceDE w:val="0"/>
              <w:autoSpaceDN w:val="0"/>
              <w:adjustRightInd w:val="0"/>
              <w:spacing w:before="60" w:after="60"/>
              <w:ind w:left="-26"/>
              <w:jc w:val="center"/>
              <w:rPr>
                <w:w w:val="90"/>
                <w:sz w:val="18"/>
                <w:szCs w:val="18"/>
              </w:rPr>
            </w:pPr>
            <w:r>
              <w:rPr>
                <w:w w:val="90"/>
                <w:sz w:val="18"/>
                <w:szCs w:val="18"/>
              </w:rPr>
              <w:t>6,894</w:t>
            </w:r>
          </w:p>
        </w:tc>
        <w:tc>
          <w:tcPr>
            <w:tcW w:w="792" w:type="dxa"/>
            <w:tcBorders>
              <w:top w:val="single" w:sz="4" w:space="0" w:color="000000"/>
              <w:bottom w:val="single" w:sz="12" w:space="0" w:color="000000"/>
            </w:tcBorders>
            <w:vAlign w:val="center"/>
          </w:tcPr>
          <w:p w:rsidR="00B376EF" w:rsidRPr="002C4FBB" w:rsidRDefault="00F77AD5" w:rsidP="00E75F3D">
            <w:pPr>
              <w:kinsoku w:val="0"/>
              <w:overflowPunct w:val="0"/>
              <w:autoSpaceDE w:val="0"/>
              <w:autoSpaceDN w:val="0"/>
              <w:adjustRightInd w:val="0"/>
              <w:spacing w:before="60" w:after="60"/>
              <w:ind w:left="-26"/>
              <w:jc w:val="center"/>
              <w:rPr>
                <w:w w:val="90"/>
                <w:sz w:val="18"/>
                <w:szCs w:val="18"/>
              </w:rPr>
            </w:pPr>
            <w:r>
              <w:rPr>
                <w:w w:val="90"/>
                <w:sz w:val="18"/>
                <w:szCs w:val="18"/>
              </w:rPr>
              <w:t>5,571</w:t>
            </w:r>
          </w:p>
        </w:tc>
        <w:tc>
          <w:tcPr>
            <w:tcW w:w="792" w:type="dxa"/>
            <w:tcBorders>
              <w:top w:val="single" w:sz="4" w:space="0" w:color="000000"/>
              <w:bottom w:val="single" w:sz="12" w:space="0" w:color="000000"/>
            </w:tcBorders>
            <w:vAlign w:val="center"/>
          </w:tcPr>
          <w:p w:rsidR="00B376EF" w:rsidRPr="002C4FBB" w:rsidRDefault="00F77AD5" w:rsidP="00E75F3D">
            <w:pPr>
              <w:kinsoku w:val="0"/>
              <w:overflowPunct w:val="0"/>
              <w:autoSpaceDE w:val="0"/>
              <w:autoSpaceDN w:val="0"/>
              <w:adjustRightInd w:val="0"/>
              <w:spacing w:before="60" w:after="60"/>
              <w:ind w:left="-26"/>
              <w:jc w:val="center"/>
              <w:rPr>
                <w:w w:val="90"/>
                <w:sz w:val="18"/>
                <w:szCs w:val="18"/>
              </w:rPr>
            </w:pPr>
            <w:r>
              <w:rPr>
                <w:w w:val="90"/>
                <w:sz w:val="18"/>
                <w:szCs w:val="18"/>
              </w:rPr>
              <w:t>5,330</w:t>
            </w:r>
          </w:p>
        </w:tc>
      </w:tr>
      <w:tr w:rsidR="00CA3D68" w:rsidRPr="008C0FBF" w:rsidTr="00B376EF">
        <w:trPr>
          <w:trHeight w:val="43"/>
          <w:jc w:val="center"/>
        </w:trPr>
        <w:tc>
          <w:tcPr>
            <w:tcW w:w="10115" w:type="dxa"/>
            <w:gridSpan w:val="10"/>
            <w:tcBorders>
              <w:top w:val="single" w:sz="12" w:space="0" w:color="000000"/>
              <w:bottom w:val="single" w:sz="12" w:space="0" w:color="000000"/>
            </w:tcBorders>
            <w:vAlign w:val="center"/>
          </w:tcPr>
          <w:p w:rsidR="00DC0E63" w:rsidRDefault="002660B4" w:rsidP="00E75F3D">
            <w:pPr>
              <w:pStyle w:val="ListParagraph"/>
              <w:numPr>
                <w:ilvl w:val="0"/>
                <w:numId w:val="15"/>
              </w:numPr>
              <w:kinsoku w:val="0"/>
              <w:overflowPunct w:val="0"/>
              <w:autoSpaceDE w:val="0"/>
              <w:autoSpaceDN w:val="0"/>
              <w:adjustRightInd w:val="0"/>
              <w:spacing w:before="60" w:after="60"/>
              <w:ind w:left="342"/>
              <w:rPr>
                <w:w w:val="90"/>
                <w:sz w:val="18"/>
                <w:szCs w:val="18"/>
              </w:rPr>
            </w:pPr>
            <w:r w:rsidRPr="008C0FBF">
              <w:rPr>
                <w:w w:val="90"/>
                <w:sz w:val="18"/>
                <w:szCs w:val="18"/>
              </w:rPr>
              <w:t>Actual values during 2012 and 2013.  Values for 2014-2020 are forecasts as of April 2014</w:t>
            </w:r>
            <w:r w:rsidR="00DC0E63">
              <w:rPr>
                <w:w w:val="90"/>
                <w:sz w:val="18"/>
                <w:szCs w:val="18"/>
              </w:rPr>
              <w:t xml:space="preserve"> (company-wide) or December 2014 (Unit 2)</w:t>
            </w:r>
            <w:r w:rsidRPr="008C0FBF">
              <w:rPr>
                <w:w w:val="90"/>
                <w:sz w:val="18"/>
                <w:szCs w:val="18"/>
              </w:rPr>
              <w:t>.</w:t>
            </w:r>
          </w:p>
          <w:p w:rsidR="00753BCE" w:rsidRPr="00045916" w:rsidRDefault="00DC0E63" w:rsidP="00DC0E63">
            <w:pPr>
              <w:pStyle w:val="ListParagraph"/>
              <w:numPr>
                <w:ilvl w:val="0"/>
                <w:numId w:val="15"/>
              </w:numPr>
              <w:kinsoku w:val="0"/>
              <w:overflowPunct w:val="0"/>
              <w:autoSpaceDE w:val="0"/>
              <w:autoSpaceDN w:val="0"/>
              <w:adjustRightInd w:val="0"/>
              <w:spacing w:before="60" w:after="60"/>
              <w:ind w:left="342"/>
              <w:rPr>
                <w:w w:val="90"/>
                <w:sz w:val="18"/>
                <w:szCs w:val="18"/>
              </w:rPr>
            </w:pPr>
            <w:r>
              <w:rPr>
                <w:w w:val="90"/>
                <w:sz w:val="18"/>
                <w:szCs w:val="18"/>
              </w:rPr>
              <w:t>Generation is expressed as gigawatt-hours (GWh)</w:t>
            </w:r>
            <w:r w:rsidR="002660B4" w:rsidRPr="008C0FBF">
              <w:rPr>
                <w:w w:val="90"/>
                <w:sz w:val="18"/>
                <w:szCs w:val="18"/>
              </w:rPr>
              <w:t xml:space="preserve"> </w:t>
            </w:r>
          </w:p>
        </w:tc>
      </w:tr>
    </w:tbl>
    <w:p w:rsidR="00045916" w:rsidRDefault="003548E9" w:rsidP="00045916">
      <w:pPr>
        <w:autoSpaceDE w:val="0"/>
        <w:autoSpaceDN w:val="0"/>
        <w:adjustRightInd w:val="0"/>
        <w:spacing w:before="120" w:after="120"/>
        <w:rPr>
          <w:sz w:val="22"/>
          <w:szCs w:val="22"/>
        </w:rPr>
      </w:pPr>
      <w:r w:rsidRPr="001577C6">
        <w:rPr>
          <w:sz w:val="22"/>
          <w:szCs w:val="22"/>
        </w:rPr>
        <w:t>A</w:t>
      </w:r>
      <w:r w:rsidR="00045916">
        <w:rPr>
          <w:sz w:val="22"/>
          <w:szCs w:val="22"/>
        </w:rPr>
        <w:t xml:space="preserve">ccording to the information in the table, gas use </w:t>
      </w:r>
      <w:r w:rsidR="00696E41">
        <w:rPr>
          <w:sz w:val="22"/>
          <w:szCs w:val="22"/>
        </w:rPr>
        <w:t xml:space="preserve">at combined cycle units </w:t>
      </w:r>
      <w:r w:rsidR="00045916">
        <w:rPr>
          <w:sz w:val="22"/>
          <w:szCs w:val="22"/>
        </w:rPr>
        <w:t>in 2020 will be roughly 10% greater than gas use in 2012.  However, generation from gas will be 17% greater than in 2012.  The key reason is the progressive modernization of the FPL fleet with more efficient combined cycle plants.  Examples include the recent modernization</w:t>
      </w:r>
      <w:r w:rsidR="00A33EE1">
        <w:rPr>
          <w:sz w:val="22"/>
          <w:szCs w:val="22"/>
        </w:rPr>
        <w:t>s</w:t>
      </w:r>
      <w:r w:rsidR="00045916">
        <w:rPr>
          <w:sz w:val="22"/>
          <w:szCs w:val="22"/>
        </w:rPr>
        <w:t xml:space="preserve"> of the Cape Canaveral </w:t>
      </w:r>
      <w:r w:rsidR="00A33EE1">
        <w:rPr>
          <w:sz w:val="22"/>
          <w:szCs w:val="22"/>
        </w:rPr>
        <w:t>and Riviera Plants with highly efficient H-Class CTGs</w:t>
      </w:r>
      <w:r w:rsidR="00E75F3D">
        <w:rPr>
          <w:sz w:val="22"/>
          <w:szCs w:val="22"/>
        </w:rPr>
        <w:t xml:space="preserve"> and modern STGs</w:t>
      </w:r>
      <w:r w:rsidR="00A33EE1">
        <w:rPr>
          <w:sz w:val="22"/>
          <w:szCs w:val="22"/>
        </w:rPr>
        <w:t>.  The two projects (each greater than 1,200 MW of summer capability) were placed in service in 2013 and 2014.  There is also an ongoing modernization project at the Port Everglades that will be placed in service in 2016.</w:t>
      </w:r>
    </w:p>
    <w:p w:rsidR="00A33EE1" w:rsidRDefault="00A33EE1" w:rsidP="00045916">
      <w:pPr>
        <w:autoSpaceDE w:val="0"/>
        <w:autoSpaceDN w:val="0"/>
        <w:adjustRightInd w:val="0"/>
        <w:spacing w:before="120" w:after="120"/>
        <w:rPr>
          <w:sz w:val="22"/>
          <w:szCs w:val="22"/>
        </w:rPr>
      </w:pPr>
      <w:r>
        <w:rPr>
          <w:sz w:val="22"/>
          <w:szCs w:val="22"/>
        </w:rPr>
        <w:t xml:space="preserve">The efficient G-Class West County Combined Cycle Units 1, 2 and 3 (each &gt; 1,200 MW of summer capability) were placed in service in 2010-2012.  This project was completed after the </w:t>
      </w:r>
      <w:r w:rsidR="00696E41">
        <w:rPr>
          <w:sz w:val="22"/>
          <w:szCs w:val="22"/>
        </w:rPr>
        <w:t xml:space="preserve">Fort Myers Unit 2 </w:t>
      </w:r>
      <w:r>
        <w:rPr>
          <w:sz w:val="22"/>
          <w:szCs w:val="22"/>
        </w:rPr>
        <w:t xml:space="preserve">historical </w:t>
      </w:r>
      <w:r w:rsidR="00E75F3D">
        <w:rPr>
          <w:sz w:val="22"/>
          <w:szCs w:val="22"/>
        </w:rPr>
        <w:t xml:space="preserve">maximum </w:t>
      </w:r>
      <w:r>
        <w:rPr>
          <w:sz w:val="22"/>
          <w:szCs w:val="22"/>
        </w:rPr>
        <w:t xml:space="preserve">two year baseline heat input, generation and emissions </w:t>
      </w:r>
      <w:r w:rsidR="00E75F3D">
        <w:rPr>
          <w:sz w:val="22"/>
          <w:szCs w:val="22"/>
        </w:rPr>
        <w:t>were achieved</w:t>
      </w:r>
      <w:r>
        <w:rPr>
          <w:sz w:val="22"/>
          <w:szCs w:val="22"/>
        </w:rPr>
        <w:t xml:space="preserve"> (2009-2010).</w:t>
      </w:r>
    </w:p>
    <w:p w:rsidR="00045916" w:rsidRDefault="00715482" w:rsidP="00045916">
      <w:pPr>
        <w:autoSpaceDE w:val="0"/>
        <w:autoSpaceDN w:val="0"/>
        <w:adjustRightInd w:val="0"/>
        <w:spacing w:before="120" w:after="120"/>
        <w:rPr>
          <w:sz w:val="22"/>
          <w:szCs w:val="22"/>
        </w:rPr>
      </w:pPr>
      <w:r>
        <w:rPr>
          <w:sz w:val="22"/>
          <w:szCs w:val="22"/>
        </w:rPr>
        <w:t xml:space="preserve">If the newer installations at Cape Canaveral, Riviera, West County and Port Everglades </w:t>
      </w:r>
      <w:r w:rsidR="00FB5D5F">
        <w:rPr>
          <w:sz w:val="22"/>
          <w:szCs w:val="22"/>
        </w:rPr>
        <w:t xml:space="preserve">(totaling 7,200 MW) </w:t>
      </w:r>
      <w:r>
        <w:rPr>
          <w:sz w:val="22"/>
          <w:szCs w:val="22"/>
        </w:rPr>
        <w:t xml:space="preserve">are dispatched at an 80% capacity factor, they would produce approximately </w:t>
      </w:r>
      <w:r w:rsidR="00DC0E63">
        <w:rPr>
          <w:sz w:val="22"/>
          <w:szCs w:val="22"/>
        </w:rPr>
        <w:t>50,000</w:t>
      </w:r>
      <w:r w:rsidR="00FB5D5F">
        <w:rPr>
          <w:sz w:val="22"/>
          <w:szCs w:val="22"/>
        </w:rPr>
        <w:t xml:space="preserve"> </w:t>
      </w:r>
      <w:r w:rsidR="00DC0E63">
        <w:rPr>
          <w:sz w:val="22"/>
          <w:szCs w:val="22"/>
        </w:rPr>
        <w:t>GWh</w:t>
      </w:r>
      <w:r w:rsidR="00FB5D5F">
        <w:rPr>
          <w:sz w:val="22"/>
          <w:szCs w:val="22"/>
        </w:rPr>
        <w:t xml:space="preserve">.  This is a very significant part of the </w:t>
      </w:r>
      <w:r w:rsidR="00E75F3D">
        <w:rPr>
          <w:sz w:val="22"/>
          <w:szCs w:val="22"/>
        </w:rPr>
        <w:t xml:space="preserve">actual or planned </w:t>
      </w:r>
      <w:r w:rsidR="00657BFC">
        <w:rPr>
          <w:sz w:val="22"/>
          <w:szCs w:val="22"/>
        </w:rPr>
        <w:t xml:space="preserve">generation listed in Table 5.  </w:t>
      </w:r>
      <w:r w:rsidR="00FB5D5F">
        <w:rPr>
          <w:sz w:val="22"/>
          <w:szCs w:val="22"/>
        </w:rPr>
        <w:t>These six highly efficient combined cycle units will</w:t>
      </w:r>
      <w:r w:rsidR="00696E41">
        <w:rPr>
          <w:sz w:val="22"/>
          <w:szCs w:val="22"/>
        </w:rPr>
        <w:t xml:space="preserve"> be preferentially dispatched compared with </w:t>
      </w:r>
      <w:r w:rsidR="00FB5D5F">
        <w:rPr>
          <w:sz w:val="22"/>
          <w:szCs w:val="22"/>
        </w:rPr>
        <w:t xml:space="preserve">Fort Myers </w:t>
      </w:r>
      <w:r w:rsidR="00E75F3D">
        <w:rPr>
          <w:sz w:val="22"/>
          <w:szCs w:val="22"/>
        </w:rPr>
        <w:t>Unit 2</w:t>
      </w:r>
      <w:r w:rsidR="00FB5D5F">
        <w:rPr>
          <w:sz w:val="22"/>
          <w:szCs w:val="22"/>
        </w:rPr>
        <w:t xml:space="preserve"> even if the Unit 2 CTGs are upgraded to near-7FA.05 CTGs.  Additionally the new</w:t>
      </w:r>
      <w:r>
        <w:rPr>
          <w:sz w:val="22"/>
          <w:szCs w:val="22"/>
        </w:rPr>
        <w:t xml:space="preserve">er installations </w:t>
      </w:r>
      <w:r w:rsidR="00FB5D5F">
        <w:rPr>
          <w:sz w:val="22"/>
          <w:szCs w:val="22"/>
        </w:rPr>
        <w:t xml:space="preserve">have more efficient STGs than the vintage </w:t>
      </w:r>
      <w:r>
        <w:rPr>
          <w:sz w:val="22"/>
          <w:szCs w:val="22"/>
        </w:rPr>
        <w:t>19</w:t>
      </w:r>
      <w:r w:rsidR="00FB5D5F">
        <w:rPr>
          <w:sz w:val="22"/>
          <w:szCs w:val="22"/>
        </w:rPr>
        <w:t>60s STGs at Fort Myers that were repowered with the 7FA.03 CTGs a dozen years ago.</w:t>
      </w:r>
    </w:p>
    <w:p w:rsidR="00657BFC" w:rsidRDefault="00004AA3" w:rsidP="00045916">
      <w:pPr>
        <w:autoSpaceDE w:val="0"/>
        <w:autoSpaceDN w:val="0"/>
        <w:adjustRightInd w:val="0"/>
        <w:spacing w:before="120" w:after="120"/>
        <w:rPr>
          <w:sz w:val="22"/>
          <w:szCs w:val="22"/>
        </w:rPr>
      </w:pPr>
      <w:r>
        <w:rPr>
          <w:sz w:val="22"/>
          <w:szCs w:val="22"/>
        </w:rPr>
        <w:t>The foregoing a</w:t>
      </w:r>
      <w:r w:rsidR="00657BFC">
        <w:rPr>
          <w:sz w:val="22"/>
          <w:szCs w:val="22"/>
        </w:rPr>
        <w:t xml:space="preserve">nalysis was conducted without consideration of other possible FPL combined cycle projects considered in the 10-year Site Plan that would also tend to </w:t>
      </w:r>
      <w:r w:rsidR="00696E41">
        <w:rPr>
          <w:sz w:val="22"/>
          <w:szCs w:val="22"/>
        </w:rPr>
        <w:t xml:space="preserve">be preferentially dispatched compared with </w:t>
      </w:r>
      <w:r w:rsidR="00657BFC">
        <w:rPr>
          <w:sz w:val="22"/>
          <w:szCs w:val="22"/>
        </w:rPr>
        <w:t xml:space="preserve">Fort Myers </w:t>
      </w:r>
      <w:r w:rsidR="00696E41">
        <w:rPr>
          <w:sz w:val="22"/>
          <w:szCs w:val="22"/>
        </w:rPr>
        <w:t>Unit 2</w:t>
      </w:r>
      <w:r w:rsidR="00657BFC">
        <w:rPr>
          <w:sz w:val="22"/>
          <w:szCs w:val="22"/>
        </w:rPr>
        <w:t>.</w:t>
      </w:r>
    </w:p>
    <w:p w:rsidR="00FB5D5F" w:rsidRDefault="00FB5D5F" w:rsidP="00045916">
      <w:pPr>
        <w:autoSpaceDE w:val="0"/>
        <w:autoSpaceDN w:val="0"/>
        <w:adjustRightInd w:val="0"/>
        <w:spacing w:before="120" w:after="120"/>
        <w:rPr>
          <w:sz w:val="22"/>
          <w:szCs w:val="22"/>
        </w:rPr>
      </w:pPr>
      <w:r>
        <w:rPr>
          <w:sz w:val="22"/>
          <w:szCs w:val="22"/>
        </w:rPr>
        <w:lastRenderedPageBreak/>
        <w:t xml:space="preserve">The upgrade project will increase instant power from the Fort Myers CTGs and will also result in less fuel use per unit of electric energy produced.  Because annual dispatch </w:t>
      </w:r>
      <w:r w:rsidR="00004AA3">
        <w:rPr>
          <w:sz w:val="22"/>
          <w:szCs w:val="22"/>
        </w:rPr>
        <w:t xml:space="preserve">of Unit 2 </w:t>
      </w:r>
      <w:r>
        <w:rPr>
          <w:sz w:val="22"/>
          <w:szCs w:val="22"/>
        </w:rPr>
        <w:t xml:space="preserve">in terms of fuel use and generation will be </w:t>
      </w:r>
      <w:r w:rsidR="00DD7D4B">
        <w:rPr>
          <w:sz w:val="22"/>
          <w:szCs w:val="22"/>
        </w:rPr>
        <w:t>reduced due to the newer units</w:t>
      </w:r>
      <w:r w:rsidR="00715482">
        <w:rPr>
          <w:sz w:val="22"/>
          <w:szCs w:val="22"/>
        </w:rPr>
        <w:t xml:space="preserve"> located elsewhere in the FPL system</w:t>
      </w:r>
      <w:r>
        <w:rPr>
          <w:sz w:val="22"/>
          <w:szCs w:val="22"/>
        </w:rPr>
        <w:t>, it is logical to conclude that annual emissions will also be lower in the future compared with the past.</w:t>
      </w:r>
      <w:r w:rsidR="00DD7D4B">
        <w:rPr>
          <w:sz w:val="22"/>
          <w:szCs w:val="22"/>
        </w:rPr>
        <w:t xml:space="preserve"> </w:t>
      </w:r>
    </w:p>
    <w:p w:rsidR="004E3CB0" w:rsidRDefault="00BA5A58" w:rsidP="00A834F3">
      <w:pPr>
        <w:autoSpaceDE w:val="0"/>
        <w:autoSpaceDN w:val="0"/>
        <w:adjustRightInd w:val="0"/>
        <w:spacing w:after="120"/>
        <w:rPr>
          <w:sz w:val="22"/>
          <w:szCs w:val="22"/>
        </w:rPr>
      </w:pPr>
      <w:r>
        <w:fldChar w:fldCharType="begin"/>
      </w:r>
      <w:r>
        <w:instrText xml:space="preserve"> REF _Ref404761570 \h  \* MERGEFORMAT </w:instrText>
      </w:r>
      <w:r>
        <w:fldChar w:fldCharType="separate"/>
      </w:r>
      <w:r w:rsidR="00A834F3" w:rsidRPr="00A834F3">
        <w:rPr>
          <w:b/>
          <w:sz w:val="22"/>
          <w:szCs w:val="22"/>
        </w:rPr>
        <w:t xml:space="preserve">Figure </w:t>
      </w:r>
      <w:r w:rsidR="00A834F3" w:rsidRPr="00A834F3">
        <w:rPr>
          <w:b/>
          <w:noProof/>
          <w:sz w:val="22"/>
          <w:szCs w:val="22"/>
        </w:rPr>
        <w:t>11</w:t>
      </w:r>
      <w:r>
        <w:fldChar w:fldCharType="end"/>
      </w:r>
      <w:r w:rsidR="00B93E47" w:rsidRPr="0008350D">
        <w:rPr>
          <w:sz w:val="22"/>
          <w:szCs w:val="22"/>
        </w:rPr>
        <w:t xml:space="preserve"> is a chart of historical </w:t>
      </w:r>
      <w:r w:rsidR="00657BFC" w:rsidRPr="0008350D">
        <w:rPr>
          <w:sz w:val="22"/>
          <w:szCs w:val="22"/>
        </w:rPr>
        <w:t>heat input and gross generation.  The chart was developed from a review of data submitted by FPL</w:t>
      </w:r>
      <w:r w:rsidR="00004AA3" w:rsidRPr="0008350D">
        <w:rPr>
          <w:sz w:val="22"/>
          <w:szCs w:val="22"/>
        </w:rPr>
        <w:t xml:space="preserve"> to the EPA Air Markets </w:t>
      </w:r>
      <w:r w:rsidR="00DD7D4B">
        <w:rPr>
          <w:sz w:val="22"/>
          <w:szCs w:val="22"/>
        </w:rPr>
        <w:t xml:space="preserve">Program Data </w:t>
      </w:r>
      <w:r w:rsidR="00004AA3" w:rsidRPr="0008350D">
        <w:rPr>
          <w:sz w:val="22"/>
          <w:szCs w:val="22"/>
        </w:rPr>
        <w:t xml:space="preserve">Website (2008-2013) and the projections in the application (2016-2020). </w:t>
      </w:r>
      <w:r w:rsidR="00DD7D4B">
        <w:rPr>
          <w:sz w:val="22"/>
          <w:szCs w:val="22"/>
        </w:rPr>
        <w:t xml:space="preserve"> </w:t>
      </w:r>
      <w:hyperlink r:id="rId30" w:history="1">
        <w:r w:rsidR="00DD7D4B">
          <w:rPr>
            <w:rStyle w:val="Hyperlink"/>
            <w:sz w:val="22"/>
            <w:szCs w:val="22"/>
          </w:rPr>
          <w:t>Link to EPA AMPD</w:t>
        </w:r>
      </w:hyperlink>
      <w:r w:rsidR="00DD7D4B">
        <w:rPr>
          <w:sz w:val="22"/>
          <w:szCs w:val="22"/>
        </w:rPr>
        <w:t xml:space="preserve"> </w:t>
      </w:r>
      <w:r w:rsidR="00004AA3" w:rsidRPr="0008350D">
        <w:rPr>
          <w:sz w:val="22"/>
          <w:szCs w:val="22"/>
        </w:rPr>
        <w:t xml:space="preserve"> </w:t>
      </w:r>
    </w:p>
    <w:p w:rsidR="002225D5" w:rsidRDefault="00634733" w:rsidP="00A834F3">
      <w:pPr>
        <w:autoSpaceDE w:val="0"/>
        <w:autoSpaceDN w:val="0"/>
        <w:adjustRightInd w:val="0"/>
        <w:spacing w:after="60"/>
        <w:rPr>
          <w:sz w:val="22"/>
          <w:szCs w:val="22"/>
        </w:rPr>
      </w:pPr>
      <w:r>
        <w:rPr>
          <w:noProof/>
        </w:rPr>
        <w:pict>
          <v:shapetype id="_x0000_t32" coordsize="21600,21600" o:spt="32" o:oned="t" path="m,l21600,21600e" filled="f">
            <v:path arrowok="t" fillok="f" o:connecttype="none"/>
            <o:lock v:ext="edit" shapetype="t"/>
          </v:shapetype>
          <v:shape id="_x0000_s1069" type="#_x0000_t32" style="position:absolute;margin-left:129.75pt;margin-top:173.25pt;width:42.1pt;height:0;flip:x;z-index:251720704" o:connectortype="straight" strokecolor="red" strokeweight="1.5pt">
            <v:stroke endarrow="block"/>
          </v:shape>
        </w:pict>
      </w:r>
      <w:r>
        <w:rPr>
          <w:noProof/>
        </w:rPr>
        <w:pict>
          <v:shape id="_x0000_s1068" type="#_x0000_t32" style="position:absolute;margin-left:376.95pt;margin-top:173.25pt;width:37.8pt;height:0;z-index:251719680" o:connectortype="straight" strokecolor="#375623 [1609]" strokeweight="1.5pt">
            <v:stroke endarrow="block"/>
          </v:shape>
        </w:pict>
      </w:r>
      <w:r w:rsidR="004C5C55" w:rsidRPr="001052D7">
        <w:rPr>
          <w:noProof/>
        </w:rPr>
        <w:drawing>
          <wp:inline distT="0" distB="0" distL="0" distR="0">
            <wp:extent cx="6400800" cy="3439160"/>
            <wp:effectExtent l="19050" t="1905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6400800" cy="3439160"/>
                    </a:xfrm>
                    <a:prstGeom prst="rect">
                      <a:avLst/>
                    </a:prstGeom>
                    <a:ln w="19050">
                      <a:solidFill>
                        <a:schemeClr val="tx1"/>
                      </a:solidFill>
                    </a:ln>
                  </pic:spPr>
                </pic:pic>
              </a:graphicData>
            </a:graphic>
          </wp:inline>
        </w:drawing>
      </w:r>
    </w:p>
    <w:p w:rsidR="002225D5" w:rsidRDefault="0093359B" w:rsidP="0093359B">
      <w:pPr>
        <w:pStyle w:val="Caption"/>
        <w:spacing w:before="0"/>
        <w:rPr>
          <w:caps w:val="0"/>
        </w:rPr>
      </w:pPr>
      <w:bookmarkStart w:id="19" w:name="_Ref404761570"/>
      <w:r>
        <w:rPr>
          <w:caps w:val="0"/>
        </w:rPr>
        <w:t xml:space="preserve">Figure </w:t>
      </w:r>
      <w:r w:rsidR="00634733">
        <w:fldChar w:fldCharType="begin"/>
      </w:r>
      <w:r w:rsidR="00634733">
        <w:instrText xml:space="preserve"> SEQ Figure \* ARABIC </w:instrText>
      </w:r>
      <w:r w:rsidR="00634733">
        <w:fldChar w:fldCharType="separate"/>
      </w:r>
      <w:r w:rsidR="00A834F3">
        <w:rPr>
          <w:noProof/>
        </w:rPr>
        <w:t>11</w:t>
      </w:r>
      <w:r w:rsidR="00634733">
        <w:rPr>
          <w:noProof/>
        </w:rPr>
        <w:fldChar w:fldCharType="end"/>
      </w:r>
      <w:bookmarkEnd w:id="19"/>
      <w:r>
        <w:t xml:space="preserve">.  </w:t>
      </w:r>
      <w:r w:rsidR="00295362">
        <w:t>H</w:t>
      </w:r>
      <w:r w:rsidR="00295362">
        <w:rPr>
          <w:caps w:val="0"/>
        </w:rPr>
        <w:t xml:space="preserve">istorical </w:t>
      </w:r>
      <w:r w:rsidR="00004AA3">
        <w:rPr>
          <w:caps w:val="0"/>
        </w:rPr>
        <w:t xml:space="preserve">and Projected Heat Input and Generation </w:t>
      </w:r>
      <w:r w:rsidR="00295362">
        <w:rPr>
          <w:caps w:val="0"/>
        </w:rPr>
        <w:t xml:space="preserve">from </w:t>
      </w:r>
      <w:r w:rsidR="00AC0AAF">
        <w:rPr>
          <w:caps w:val="0"/>
        </w:rPr>
        <w:t>FPL</w:t>
      </w:r>
      <w:r w:rsidR="00295362">
        <w:rPr>
          <w:caps w:val="0"/>
        </w:rPr>
        <w:t xml:space="preserve"> </w:t>
      </w:r>
      <w:r w:rsidR="00AC0AAF">
        <w:rPr>
          <w:caps w:val="0"/>
        </w:rPr>
        <w:t xml:space="preserve">Fort Myers </w:t>
      </w:r>
      <w:r w:rsidR="00004AA3">
        <w:rPr>
          <w:caps w:val="0"/>
        </w:rPr>
        <w:t xml:space="preserve">Unit 2 </w:t>
      </w:r>
      <w:r w:rsidR="00295362">
        <w:rPr>
          <w:caps w:val="0"/>
        </w:rPr>
        <w:t>(200</w:t>
      </w:r>
      <w:r w:rsidR="00004AA3">
        <w:rPr>
          <w:caps w:val="0"/>
        </w:rPr>
        <w:t>8</w:t>
      </w:r>
      <w:r w:rsidR="00295362">
        <w:rPr>
          <w:caps w:val="0"/>
        </w:rPr>
        <w:t>-20</w:t>
      </w:r>
      <w:r w:rsidR="00004AA3">
        <w:rPr>
          <w:caps w:val="0"/>
        </w:rPr>
        <w:t>20</w:t>
      </w:r>
      <w:r w:rsidR="00295362">
        <w:rPr>
          <w:caps w:val="0"/>
        </w:rPr>
        <w:t>).</w:t>
      </w:r>
    </w:p>
    <w:p w:rsidR="00A834F3" w:rsidRDefault="00A834F3" w:rsidP="00A834F3">
      <w:pPr>
        <w:autoSpaceDE w:val="0"/>
        <w:autoSpaceDN w:val="0"/>
        <w:adjustRightInd w:val="0"/>
        <w:spacing w:after="120"/>
        <w:rPr>
          <w:sz w:val="22"/>
          <w:szCs w:val="22"/>
        </w:rPr>
      </w:pPr>
      <w:r>
        <w:fldChar w:fldCharType="begin"/>
      </w:r>
      <w:r>
        <w:instrText xml:space="preserve"> REF _Ref407780190 \h  \* MERGEFORMAT </w:instrText>
      </w:r>
      <w:r>
        <w:fldChar w:fldCharType="separate"/>
      </w:r>
      <w:r w:rsidRPr="00A834F3">
        <w:rPr>
          <w:b/>
          <w:sz w:val="22"/>
          <w:szCs w:val="22"/>
        </w:rPr>
        <w:t xml:space="preserve">Figure </w:t>
      </w:r>
      <w:r w:rsidRPr="00A834F3">
        <w:rPr>
          <w:b/>
          <w:noProof/>
          <w:sz w:val="22"/>
          <w:szCs w:val="22"/>
        </w:rPr>
        <w:t>12</w:t>
      </w:r>
      <w:r>
        <w:fldChar w:fldCharType="end"/>
      </w:r>
      <w:r w:rsidRPr="0008350D">
        <w:rPr>
          <w:sz w:val="22"/>
          <w:szCs w:val="22"/>
        </w:rPr>
        <w:t xml:space="preserve"> is a chart of recent NO</w:t>
      </w:r>
      <w:r w:rsidRPr="00680160">
        <w:rPr>
          <w:sz w:val="22"/>
          <w:szCs w:val="22"/>
          <w:vertAlign w:val="subscript"/>
        </w:rPr>
        <w:t>X</w:t>
      </w:r>
      <w:r w:rsidRPr="0008350D">
        <w:rPr>
          <w:sz w:val="22"/>
          <w:szCs w:val="22"/>
        </w:rPr>
        <w:t xml:space="preserve"> and SO</w:t>
      </w:r>
      <w:r w:rsidRPr="00680160">
        <w:rPr>
          <w:sz w:val="22"/>
          <w:szCs w:val="22"/>
          <w:vertAlign w:val="subscript"/>
        </w:rPr>
        <w:t xml:space="preserve">2 </w:t>
      </w:r>
      <w:r w:rsidRPr="0008350D">
        <w:rPr>
          <w:sz w:val="22"/>
          <w:szCs w:val="22"/>
        </w:rPr>
        <w:t>data submitted by FPL to the Air Markets Website (2008-2013).  The graph of the NO</w:t>
      </w:r>
      <w:r w:rsidRPr="0008350D">
        <w:rPr>
          <w:sz w:val="22"/>
          <w:szCs w:val="22"/>
          <w:vertAlign w:val="subscript"/>
        </w:rPr>
        <w:t>X</w:t>
      </w:r>
      <w:r w:rsidRPr="0008350D">
        <w:rPr>
          <w:sz w:val="22"/>
          <w:szCs w:val="22"/>
        </w:rPr>
        <w:t xml:space="preserve"> emissions in </w:t>
      </w:r>
      <w:r>
        <w:fldChar w:fldCharType="begin"/>
      </w:r>
      <w:r>
        <w:instrText xml:space="preserve"> REF _Ref407780190 \h  \* MERGEFORMAT </w:instrText>
      </w:r>
      <w:r>
        <w:fldChar w:fldCharType="separate"/>
      </w:r>
      <w:r w:rsidRPr="00A834F3">
        <w:rPr>
          <w:b/>
          <w:sz w:val="22"/>
          <w:szCs w:val="22"/>
        </w:rPr>
        <w:t xml:space="preserve">Figure </w:t>
      </w:r>
      <w:r w:rsidRPr="00A834F3">
        <w:rPr>
          <w:b/>
          <w:noProof/>
          <w:sz w:val="22"/>
          <w:szCs w:val="22"/>
        </w:rPr>
        <w:t>12</w:t>
      </w:r>
      <w:r>
        <w:fldChar w:fldCharType="end"/>
      </w:r>
      <w:r w:rsidRPr="0008350D">
        <w:rPr>
          <w:b/>
          <w:sz w:val="22"/>
          <w:szCs w:val="22"/>
        </w:rPr>
        <w:t xml:space="preserve"> </w:t>
      </w:r>
      <w:r w:rsidRPr="0008350D">
        <w:rPr>
          <w:sz w:val="22"/>
          <w:szCs w:val="22"/>
        </w:rPr>
        <w:t xml:space="preserve">during 2008-2013 closely tracks the generation and heat input trend in </w:t>
      </w:r>
      <w:r>
        <w:fldChar w:fldCharType="begin"/>
      </w:r>
      <w:r>
        <w:instrText xml:space="preserve"> REF _Ref404761570 \h  \* MERGEFORMAT </w:instrText>
      </w:r>
      <w:r>
        <w:fldChar w:fldCharType="separate"/>
      </w:r>
      <w:r w:rsidRPr="00A834F3">
        <w:rPr>
          <w:b/>
          <w:sz w:val="22"/>
          <w:szCs w:val="22"/>
        </w:rPr>
        <w:t xml:space="preserve">Figure </w:t>
      </w:r>
      <w:r w:rsidRPr="00A834F3">
        <w:rPr>
          <w:b/>
          <w:noProof/>
          <w:sz w:val="22"/>
          <w:szCs w:val="22"/>
        </w:rPr>
        <w:t>11</w:t>
      </w:r>
      <w:r>
        <w:fldChar w:fldCharType="end"/>
      </w:r>
      <w:r w:rsidRPr="0008350D">
        <w:rPr>
          <w:sz w:val="22"/>
          <w:szCs w:val="22"/>
        </w:rPr>
        <w:t>.  SO</w:t>
      </w:r>
      <w:r w:rsidRPr="0008350D">
        <w:rPr>
          <w:sz w:val="22"/>
          <w:szCs w:val="22"/>
          <w:vertAlign w:val="subscript"/>
        </w:rPr>
        <w:t>2</w:t>
      </w:r>
      <w:r w:rsidRPr="0008350D">
        <w:rPr>
          <w:sz w:val="22"/>
          <w:szCs w:val="22"/>
        </w:rPr>
        <w:t xml:space="preserve"> emissions are trivial</w:t>
      </w:r>
      <w:r w:rsidR="00715482">
        <w:rPr>
          <w:sz w:val="22"/>
          <w:szCs w:val="22"/>
        </w:rPr>
        <w:t xml:space="preserve"> due to the use of natural gas</w:t>
      </w:r>
      <w:r w:rsidRPr="0008350D">
        <w:rPr>
          <w:sz w:val="22"/>
          <w:szCs w:val="22"/>
        </w:rPr>
        <w:t>.</w:t>
      </w:r>
    </w:p>
    <w:p w:rsidR="00A834F3" w:rsidRDefault="00A834F3" w:rsidP="00A834F3">
      <w:pPr>
        <w:spacing w:before="120" w:after="120"/>
        <w:rPr>
          <w:sz w:val="22"/>
          <w:szCs w:val="22"/>
        </w:rPr>
      </w:pPr>
      <w:r>
        <w:rPr>
          <w:sz w:val="22"/>
          <w:szCs w:val="22"/>
        </w:rPr>
        <w:t>Using conservative methods as described in the application, FPL nevertheless projected an increase of 25.3 tons/year even at lower annual generation and heat input.  The most likely scenario is that emissions of NO</w:t>
      </w:r>
      <w:r w:rsidRPr="00D017E0">
        <w:rPr>
          <w:sz w:val="22"/>
          <w:szCs w:val="22"/>
          <w:vertAlign w:val="subscript"/>
        </w:rPr>
        <w:t>X</w:t>
      </w:r>
      <w:r>
        <w:rPr>
          <w:sz w:val="22"/>
          <w:szCs w:val="22"/>
        </w:rPr>
        <w:t xml:space="preserve"> will actually decrease.  </w:t>
      </w:r>
      <w:r w:rsidRPr="001577C6">
        <w:rPr>
          <w:sz w:val="22"/>
          <w:szCs w:val="22"/>
        </w:rPr>
        <w:t>Notwithstanding the low probability of a significant increase in NO</w:t>
      </w:r>
      <w:r w:rsidRPr="001577C6">
        <w:rPr>
          <w:sz w:val="22"/>
          <w:szCs w:val="22"/>
          <w:vertAlign w:val="subscript"/>
        </w:rPr>
        <w:t>X</w:t>
      </w:r>
      <w:r w:rsidRPr="001577C6">
        <w:rPr>
          <w:sz w:val="22"/>
          <w:szCs w:val="22"/>
        </w:rPr>
        <w:t xml:space="preserve"> emissions, the Department will require that </w:t>
      </w:r>
      <w:r>
        <w:rPr>
          <w:sz w:val="22"/>
          <w:szCs w:val="22"/>
        </w:rPr>
        <w:t>FPL</w:t>
      </w:r>
      <w:r w:rsidRPr="001577C6">
        <w:rPr>
          <w:sz w:val="22"/>
          <w:szCs w:val="22"/>
        </w:rPr>
        <w:t xml:space="preserve"> report annual emissions of NO</w:t>
      </w:r>
      <w:r w:rsidRPr="001577C6">
        <w:rPr>
          <w:sz w:val="22"/>
          <w:szCs w:val="22"/>
          <w:vertAlign w:val="subscript"/>
        </w:rPr>
        <w:t>X</w:t>
      </w:r>
      <w:r w:rsidRPr="001577C6">
        <w:rPr>
          <w:sz w:val="22"/>
          <w:szCs w:val="22"/>
        </w:rPr>
        <w:t xml:space="preserve"> in accordance with the provisions in </w:t>
      </w:r>
      <w:r>
        <w:rPr>
          <w:sz w:val="22"/>
          <w:szCs w:val="22"/>
        </w:rPr>
        <w:br/>
      </w:r>
      <w:r w:rsidRPr="001577C6">
        <w:rPr>
          <w:sz w:val="22"/>
          <w:szCs w:val="22"/>
        </w:rPr>
        <w:t xml:space="preserve">Section 62-212.300(1)(e), F.A.C.  </w:t>
      </w:r>
    </w:p>
    <w:p w:rsidR="00A834F3" w:rsidRDefault="00A834F3" w:rsidP="00A834F3">
      <w:pPr>
        <w:spacing w:before="120" w:after="120"/>
        <w:rPr>
          <w:sz w:val="22"/>
          <w:szCs w:val="22"/>
        </w:rPr>
      </w:pPr>
      <w:r>
        <w:rPr>
          <w:sz w:val="22"/>
          <w:szCs w:val="22"/>
        </w:rPr>
        <w:t>The Department will revise and extend the previous permit (0710002-020-AC) that authorized the first phase of the partial upgrade to 7FA.04.  The revised permit will now authorize the partial upgrades to 7FA.04 and 7FA.05.</w:t>
      </w:r>
    </w:p>
    <w:p w:rsidR="00A834F3" w:rsidRDefault="00A834F3" w:rsidP="002F6626">
      <w:pPr>
        <w:pStyle w:val="ListParagraph"/>
        <w:numPr>
          <w:ilvl w:val="1"/>
          <w:numId w:val="1"/>
        </w:numPr>
        <w:tabs>
          <w:tab w:val="left" w:pos="450"/>
        </w:tabs>
        <w:spacing w:after="120"/>
        <w:ind w:left="446" w:hanging="446"/>
        <w:contextualSpacing w:val="0"/>
        <w:rPr>
          <w:rFonts w:eastAsia="Calibri"/>
          <w:b/>
          <w:sz w:val="22"/>
          <w:szCs w:val="22"/>
        </w:rPr>
      </w:pPr>
      <w:r>
        <w:rPr>
          <w:rFonts w:eastAsia="Calibri"/>
          <w:b/>
          <w:sz w:val="22"/>
          <w:szCs w:val="22"/>
        </w:rPr>
        <w:t>Applicability of New Source Performance Standards</w:t>
      </w:r>
    </w:p>
    <w:p w:rsidR="00A834F3" w:rsidRDefault="00A834F3" w:rsidP="00A834F3">
      <w:pPr>
        <w:spacing w:before="120" w:after="120"/>
        <w:rPr>
          <w:sz w:val="22"/>
          <w:szCs w:val="22"/>
        </w:rPr>
      </w:pPr>
      <w:r>
        <w:rPr>
          <w:sz w:val="22"/>
          <w:szCs w:val="22"/>
        </w:rPr>
        <w:t>In the Technical Evaluation and Preliminary Determination (TEPD) conducted for the previously approved 7FA.04 upgrade project, the Department considered whether that project triggers the requirements of 40 CFR 60, Subpart KKKK-</w:t>
      </w:r>
      <w:r w:rsidRPr="00EF3A2D">
        <w:rPr>
          <w:sz w:val="22"/>
          <w:szCs w:val="22"/>
        </w:rPr>
        <w:t xml:space="preserve"> </w:t>
      </w:r>
      <w:r w:rsidRPr="0088496B">
        <w:rPr>
          <w:sz w:val="22"/>
          <w:szCs w:val="22"/>
        </w:rPr>
        <w:t>Standards of Performance for Stationary Combustion Turbines</w:t>
      </w:r>
      <w:r>
        <w:rPr>
          <w:sz w:val="22"/>
          <w:szCs w:val="22"/>
        </w:rPr>
        <w:t xml:space="preserve"> (Subpart KKKK).  </w:t>
      </w:r>
      <w:r>
        <w:rPr>
          <w:sz w:val="22"/>
          <w:szCs w:val="22"/>
        </w:rPr>
        <w:br/>
      </w:r>
      <w:hyperlink r:id="rId32" w:history="1">
        <w:r>
          <w:rPr>
            <w:rStyle w:val="Hyperlink"/>
            <w:sz w:val="22"/>
            <w:szCs w:val="22"/>
          </w:rPr>
          <w:t>Link to Previous TEPD</w:t>
        </w:r>
      </w:hyperlink>
      <w:r>
        <w:rPr>
          <w:sz w:val="22"/>
          <w:szCs w:val="22"/>
        </w:rPr>
        <w:t xml:space="preserve">   </w:t>
      </w:r>
      <w:hyperlink r:id="rId33" w:history="1">
        <w:r>
          <w:rPr>
            <w:rStyle w:val="Hyperlink"/>
            <w:sz w:val="22"/>
            <w:szCs w:val="22"/>
          </w:rPr>
          <w:t>Link to Subpart KKKK</w:t>
        </w:r>
      </w:hyperlink>
      <w:r>
        <w:rPr>
          <w:sz w:val="22"/>
          <w:szCs w:val="22"/>
        </w:rPr>
        <w:t xml:space="preserve"> </w:t>
      </w:r>
    </w:p>
    <w:p w:rsidR="00004AA3" w:rsidRDefault="00634733" w:rsidP="002F6626">
      <w:pPr>
        <w:spacing w:after="60"/>
        <w:rPr>
          <w:sz w:val="22"/>
          <w:szCs w:val="22"/>
        </w:rPr>
      </w:pPr>
      <w:r>
        <w:rPr>
          <w:noProof/>
          <w:sz w:val="22"/>
          <w:szCs w:val="22"/>
        </w:rPr>
        <w:lastRenderedPageBreak/>
        <w:pict>
          <v:shape id="_x0000_s1072" type="#_x0000_t32" style="position:absolute;margin-left:348.45pt;margin-top:119.1pt;width:37.8pt;height:0;z-index:251721728" o:connectortype="straight" strokecolor="#375623 [1609]" strokeweight="1.5pt">
            <v:stroke endarrow="block"/>
          </v:shape>
        </w:pict>
      </w:r>
      <w:r>
        <w:rPr>
          <w:noProof/>
          <w:sz w:val="22"/>
          <w:szCs w:val="22"/>
        </w:rPr>
        <w:pict>
          <v:shape id="_x0000_s1073" type="#_x0000_t32" style="position:absolute;margin-left:158.25pt;margin-top:119.1pt;width:42.1pt;height:0;flip:x;z-index:251722752" o:connectortype="straight" strokecolor="red" strokeweight="1.5pt">
            <v:stroke endarrow="block"/>
          </v:shape>
        </w:pict>
      </w:r>
      <w:r w:rsidR="00004AA3" w:rsidRPr="00EE5450">
        <w:rPr>
          <w:noProof/>
        </w:rPr>
        <w:drawing>
          <wp:inline distT="0" distB="0" distL="0" distR="0">
            <wp:extent cx="6400800" cy="3743960"/>
            <wp:effectExtent l="19050" t="1905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6400800" cy="3743960"/>
                    </a:xfrm>
                    <a:prstGeom prst="rect">
                      <a:avLst/>
                    </a:prstGeom>
                    <a:ln w="19050">
                      <a:solidFill>
                        <a:schemeClr val="tx1"/>
                      </a:solidFill>
                    </a:ln>
                  </pic:spPr>
                </pic:pic>
              </a:graphicData>
            </a:graphic>
          </wp:inline>
        </w:drawing>
      </w:r>
    </w:p>
    <w:p w:rsidR="00004AA3" w:rsidRPr="00004AA3" w:rsidRDefault="00004AA3" w:rsidP="00146085">
      <w:pPr>
        <w:pStyle w:val="Caption"/>
        <w:spacing w:before="0"/>
        <w:rPr>
          <w:rFonts w:ascii="Times New Roman Bold" w:hAnsi="Times New Roman Bold"/>
          <w:b w:val="0"/>
          <w:caps w:val="0"/>
          <w:szCs w:val="22"/>
        </w:rPr>
      </w:pPr>
      <w:bookmarkStart w:id="20" w:name="_Ref407780190"/>
      <w:bookmarkStart w:id="21" w:name="_Ref407780184"/>
      <w:r w:rsidRPr="00004AA3">
        <w:rPr>
          <w:caps w:val="0"/>
        </w:rPr>
        <w:t xml:space="preserve">Figure </w:t>
      </w:r>
      <w:r w:rsidR="00515AEA" w:rsidRPr="00004AA3">
        <w:rPr>
          <w:caps w:val="0"/>
        </w:rPr>
        <w:fldChar w:fldCharType="begin"/>
      </w:r>
      <w:r w:rsidRPr="00004AA3">
        <w:rPr>
          <w:caps w:val="0"/>
        </w:rPr>
        <w:instrText xml:space="preserve"> SEQ Figure \* ARABIC </w:instrText>
      </w:r>
      <w:r w:rsidR="00515AEA" w:rsidRPr="00004AA3">
        <w:rPr>
          <w:caps w:val="0"/>
        </w:rPr>
        <w:fldChar w:fldCharType="separate"/>
      </w:r>
      <w:r w:rsidR="00A834F3">
        <w:rPr>
          <w:caps w:val="0"/>
          <w:noProof/>
        </w:rPr>
        <w:t>12</w:t>
      </w:r>
      <w:r w:rsidR="00515AEA" w:rsidRPr="00004AA3">
        <w:rPr>
          <w:caps w:val="0"/>
        </w:rPr>
        <w:fldChar w:fldCharType="end"/>
      </w:r>
      <w:bookmarkEnd w:id="20"/>
      <w:r>
        <w:rPr>
          <w:caps w:val="0"/>
        </w:rPr>
        <w:t>.</w:t>
      </w:r>
      <w:r w:rsidRPr="00004AA3">
        <w:rPr>
          <w:rFonts w:ascii="Times New Roman Bold" w:hAnsi="Times New Roman Bold"/>
          <w:b w:val="0"/>
          <w:caps w:val="0"/>
          <w:szCs w:val="22"/>
        </w:rPr>
        <w:t xml:space="preserve">  Historical </w:t>
      </w:r>
      <w:r w:rsidR="00146085">
        <w:rPr>
          <w:rFonts w:ascii="Times New Roman Bold" w:hAnsi="Times New Roman Bold"/>
          <w:b w:val="0"/>
          <w:caps w:val="0"/>
          <w:szCs w:val="22"/>
        </w:rPr>
        <w:t>NO</w:t>
      </w:r>
      <w:r w:rsidR="00146085" w:rsidRPr="00146085">
        <w:rPr>
          <w:rFonts w:ascii="Times New Roman Bold" w:hAnsi="Times New Roman Bold"/>
          <w:b w:val="0"/>
          <w:caps w:val="0"/>
          <w:szCs w:val="22"/>
          <w:vertAlign w:val="subscript"/>
        </w:rPr>
        <w:t>X</w:t>
      </w:r>
      <w:r w:rsidR="00146085">
        <w:rPr>
          <w:rFonts w:ascii="Times New Roman Bold" w:hAnsi="Times New Roman Bold"/>
          <w:b w:val="0"/>
          <w:caps w:val="0"/>
          <w:szCs w:val="22"/>
        </w:rPr>
        <w:t xml:space="preserve"> and SO</w:t>
      </w:r>
      <w:r w:rsidR="00146085" w:rsidRPr="00146085">
        <w:rPr>
          <w:rFonts w:ascii="Times New Roman Bold" w:hAnsi="Times New Roman Bold"/>
          <w:b w:val="0"/>
          <w:caps w:val="0"/>
          <w:szCs w:val="22"/>
          <w:vertAlign w:val="subscript"/>
        </w:rPr>
        <w:t>2</w:t>
      </w:r>
      <w:r w:rsidR="00146085">
        <w:rPr>
          <w:rFonts w:ascii="Times New Roman Bold" w:hAnsi="Times New Roman Bold"/>
          <w:b w:val="0"/>
          <w:caps w:val="0"/>
          <w:szCs w:val="22"/>
        </w:rPr>
        <w:t xml:space="preserve"> Emissions f</w:t>
      </w:r>
      <w:r w:rsidRPr="00004AA3">
        <w:rPr>
          <w:rFonts w:ascii="Times New Roman Bold" w:hAnsi="Times New Roman Bold"/>
          <w:b w:val="0"/>
          <w:caps w:val="0"/>
          <w:szCs w:val="22"/>
        </w:rPr>
        <w:t>rom FPL Fort Myers Unit 2 (2008-20</w:t>
      </w:r>
      <w:r w:rsidR="00146085">
        <w:rPr>
          <w:rFonts w:ascii="Times New Roman Bold" w:hAnsi="Times New Roman Bold"/>
          <w:b w:val="0"/>
          <w:caps w:val="0"/>
          <w:szCs w:val="22"/>
        </w:rPr>
        <w:t>13</w:t>
      </w:r>
      <w:r w:rsidRPr="00004AA3">
        <w:rPr>
          <w:rFonts w:ascii="Times New Roman Bold" w:hAnsi="Times New Roman Bold"/>
          <w:b w:val="0"/>
          <w:caps w:val="0"/>
          <w:szCs w:val="22"/>
        </w:rPr>
        <w:t>).</w:t>
      </w:r>
      <w:bookmarkEnd w:id="21"/>
    </w:p>
    <w:p w:rsidR="002F6626" w:rsidRDefault="002F6626" w:rsidP="002F6626">
      <w:pPr>
        <w:spacing w:after="120"/>
        <w:rPr>
          <w:sz w:val="22"/>
          <w:szCs w:val="22"/>
        </w:rPr>
      </w:pPr>
      <w:r>
        <w:rPr>
          <w:sz w:val="22"/>
          <w:szCs w:val="22"/>
        </w:rPr>
        <w:t>Subpart KKKK has more stringent NO</w:t>
      </w:r>
      <w:r w:rsidRPr="003A101B">
        <w:rPr>
          <w:sz w:val="22"/>
          <w:szCs w:val="22"/>
          <w:vertAlign w:val="subscript"/>
        </w:rPr>
        <w:t>X</w:t>
      </w:r>
      <w:r>
        <w:rPr>
          <w:sz w:val="22"/>
          <w:szCs w:val="22"/>
        </w:rPr>
        <w:t xml:space="preserve"> and SO</w:t>
      </w:r>
      <w:r w:rsidRPr="003A101B">
        <w:rPr>
          <w:sz w:val="22"/>
          <w:szCs w:val="22"/>
          <w:vertAlign w:val="subscript"/>
        </w:rPr>
        <w:t>2</w:t>
      </w:r>
      <w:r>
        <w:rPr>
          <w:sz w:val="22"/>
          <w:szCs w:val="22"/>
        </w:rPr>
        <w:t xml:space="preserve"> emission standards than Subpart GG, which applied to the six CTGs when they were constructed circa 2000.  However, the permit (0710002-004-AC) that authorized construction of the six CTGs included, at the request of FPL, emission limits much less than those of Subpart GG and less than or equal to those of Subpart KKKK.  </w:t>
      </w:r>
    </w:p>
    <w:p w:rsidR="00EF3A2D" w:rsidRDefault="003A101B" w:rsidP="00DD7D4B">
      <w:pPr>
        <w:spacing w:before="120" w:after="120"/>
        <w:rPr>
          <w:sz w:val="22"/>
          <w:szCs w:val="22"/>
        </w:rPr>
      </w:pPr>
      <w:r>
        <w:rPr>
          <w:sz w:val="22"/>
          <w:szCs w:val="22"/>
        </w:rPr>
        <w:t>The Department will retain the requirement of the previous permit to actually demonstrate whether the upgrade (now upgrades) will trigger Subpart KKKK</w:t>
      </w:r>
      <w:r w:rsidR="00647A15">
        <w:rPr>
          <w:sz w:val="22"/>
          <w:szCs w:val="22"/>
        </w:rPr>
        <w:t xml:space="preserve"> due to possible short-term (hourly) mass emission increases</w:t>
      </w:r>
      <w:r>
        <w:rPr>
          <w:sz w:val="22"/>
          <w:szCs w:val="22"/>
        </w:rPr>
        <w:t>.  The specific condition from the previous permit to be include in the present permit is as follows:</w:t>
      </w:r>
    </w:p>
    <w:p w:rsidR="002F6626" w:rsidRDefault="00EF3A2D" w:rsidP="003A101B">
      <w:pPr>
        <w:pStyle w:val="ListParagraph"/>
        <w:numPr>
          <w:ilvl w:val="0"/>
          <w:numId w:val="41"/>
        </w:numPr>
        <w:spacing w:after="120"/>
        <w:ind w:left="360"/>
        <w:contextualSpacing w:val="0"/>
        <w:rPr>
          <w:sz w:val="22"/>
          <w:szCs w:val="22"/>
        </w:rPr>
      </w:pPr>
      <w:r w:rsidRPr="003A101B">
        <w:rPr>
          <w:sz w:val="22"/>
          <w:szCs w:val="22"/>
          <w:u w:val="single"/>
        </w:rPr>
        <w:t>NSPS, KKKK Applicability Determination</w:t>
      </w:r>
      <w:r w:rsidRPr="003A101B">
        <w:rPr>
          <w:sz w:val="22"/>
          <w:szCs w:val="22"/>
        </w:rPr>
        <w:t>:  The permittee shall conduct tests in accordance with 40 CFR 60, Appendix C - Determination of Emission Rate Change.  The permittee shall submit the data with the Title V Permit application required by Section 2, Condition 9 above.  The submittal shall include a preliminary inference whether the short-term NO</w:t>
      </w:r>
      <w:r w:rsidRPr="003A101B">
        <w:rPr>
          <w:sz w:val="22"/>
          <w:szCs w:val="22"/>
          <w:vertAlign w:val="subscript"/>
        </w:rPr>
        <w:t>X</w:t>
      </w:r>
      <w:r w:rsidRPr="003A101B">
        <w:rPr>
          <w:sz w:val="22"/>
          <w:szCs w:val="22"/>
        </w:rPr>
        <w:t xml:space="preserve"> emission rates (in pounds per hour), while operating in the normal combined cycle mode and burning natural gas, after the change are greater than before the change with 95% confidence and an analysis regarding the applicability of 40 CFR 60, Subpart KKKK – Standards of Performance for Stationary Combustion Turbines.  The tests shall be conducted using the installed NO</w:t>
      </w:r>
      <w:r w:rsidRPr="003A101B">
        <w:rPr>
          <w:sz w:val="22"/>
          <w:szCs w:val="22"/>
          <w:vertAlign w:val="subscript"/>
        </w:rPr>
        <w:t>X</w:t>
      </w:r>
      <w:r w:rsidRPr="003A101B">
        <w:rPr>
          <w:sz w:val="22"/>
          <w:szCs w:val="22"/>
        </w:rPr>
        <w:t xml:space="preserve"> CEMS with the units operated as if a manual test were being performed.  Valid data using the averaging time which would be required if a manual emission test were being conducted shall be used.  The number (n) of runs shall be between 20 and 29.  </w:t>
      </w:r>
      <w:r w:rsidRPr="003A101B">
        <w:rPr>
          <w:color w:val="000000"/>
          <w:sz w:val="22"/>
          <w:szCs w:val="22"/>
        </w:rPr>
        <w:t>If test data shows NO</w:t>
      </w:r>
      <w:r w:rsidRPr="003A101B">
        <w:rPr>
          <w:color w:val="000000"/>
          <w:sz w:val="22"/>
          <w:szCs w:val="22"/>
          <w:vertAlign w:val="subscript"/>
        </w:rPr>
        <w:t>X</w:t>
      </w:r>
      <w:r w:rsidRPr="003A101B">
        <w:rPr>
          <w:color w:val="000000"/>
          <w:sz w:val="22"/>
          <w:szCs w:val="22"/>
        </w:rPr>
        <w:t xml:space="preserve"> emissions for any combustion turbine increases, the permittee will become subject to 40 CFR 60, Subpart KKKK, and shall immediately begin complying with all of the provisions applicable to the unit.  In such case, the applicable provisions of 40 CFR 60, Subpart KKKK will be incorporated into the Title V air operation permit during the next revision or renewal.</w:t>
      </w:r>
      <w:r w:rsidRPr="003A101B">
        <w:rPr>
          <w:sz w:val="22"/>
          <w:szCs w:val="22"/>
        </w:rPr>
        <w:t xml:space="preserve">  </w:t>
      </w:r>
      <w:r w:rsidRPr="003A101B">
        <w:rPr>
          <w:sz w:val="22"/>
          <w:szCs w:val="22"/>
        </w:rPr>
        <w:br/>
        <w:t>[Rule 62-4.070, F.A.C., Application</w:t>
      </w:r>
      <w:r w:rsidRPr="003A101B">
        <w:rPr>
          <w:sz w:val="22"/>
          <w:szCs w:val="22"/>
          <w:highlight w:val="yellow"/>
          <w:u w:val="single"/>
        </w:rPr>
        <w:t>s</w:t>
      </w:r>
      <w:r w:rsidRPr="003A101B">
        <w:rPr>
          <w:sz w:val="22"/>
          <w:szCs w:val="22"/>
        </w:rPr>
        <w:t xml:space="preserve"> 0710002-020-AC</w:t>
      </w:r>
      <w:r w:rsidRPr="003A101B">
        <w:rPr>
          <w:sz w:val="22"/>
          <w:szCs w:val="22"/>
          <w:u w:val="single"/>
        </w:rPr>
        <w:t xml:space="preserve"> </w:t>
      </w:r>
      <w:r w:rsidRPr="003A101B">
        <w:rPr>
          <w:sz w:val="22"/>
          <w:szCs w:val="22"/>
          <w:highlight w:val="yellow"/>
          <w:u w:val="single"/>
        </w:rPr>
        <w:t>and 0710002-021-AC</w:t>
      </w:r>
      <w:r w:rsidRPr="003A101B">
        <w:rPr>
          <w:sz w:val="22"/>
          <w:szCs w:val="22"/>
        </w:rPr>
        <w:t>]</w:t>
      </w:r>
      <w:r w:rsidR="002F6626">
        <w:rPr>
          <w:sz w:val="22"/>
          <w:szCs w:val="22"/>
        </w:rPr>
        <w:br w:type="page"/>
      </w:r>
    </w:p>
    <w:p w:rsidR="00193F10" w:rsidRPr="001577C6" w:rsidRDefault="00193F10" w:rsidP="00397A7D">
      <w:pPr>
        <w:pStyle w:val="ListParagraph"/>
        <w:numPr>
          <w:ilvl w:val="0"/>
          <w:numId w:val="1"/>
        </w:numPr>
        <w:tabs>
          <w:tab w:val="left" w:pos="450"/>
        </w:tabs>
        <w:spacing w:after="120"/>
        <w:ind w:left="450" w:hanging="450"/>
        <w:contextualSpacing w:val="0"/>
        <w:rPr>
          <w:b/>
          <w:caps/>
          <w:sz w:val="22"/>
          <w:szCs w:val="22"/>
        </w:rPr>
      </w:pPr>
      <w:r w:rsidRPr="001577C6">
        <w:rPr>
          <w:b/>
          <w:caps/>
          <w:sz w:val="22"/>
          <w:szCs w:val="22"/>
        </w:rPr>
        <w:lastRenderedPageBreak/>
        <w:t>Preliminary Determination</w:t>
      </w:r>
    </w:p>
    <w:p w:rsidR="00DD454C" w:rsidRDefault="00193F10" w:rsidP="009B7591">
      <w:pPr>
        <w:widowControl w:val="0"/>
        <w:spacing w:after="120"/>
        <w:rPr>
          <w:sz w:val="22"/>
          <w:szCs w:val="22"/>
        </w:rPr>
      </w:pPr>
      <w:r w:rsidRPr="001577C6">
        <w:rPr>
          <w:sz w:val="22"/>
          <w:szCs w:val="22"/>
        </w:rPr>
        <w:t xml:space="preserve">The Department makes a preliminary determination that the project </w:t>
      </w:r>
      <w:r w:rsidR="00235DC8" w:rsidRPr="001577C6">
        <w:rPr>
          <w:sz w:val="22"/>
          <w:szCs w:val="22"/>
        </w:rPr>
        <w:t xml:space="preserve">is not a major modification and that it </w:t>
      </w:r>
      <w:r w:rsidRPr="001577C6">
        <w:rPr>
          <w:sz w:val="22"/>
          <w:szCs w:val="22"/>
        </w:rPr>
        <w:t>will comply with all applicable state and federal air pollution regulations as conditioned by the draft permit.  This determination is based on a technical review of the complete application, reasonable assurances provided by the applicant</w:t>
      </w:r>
      <w:r w:rsidR="004D56F9" w:rsidRPr="001577C6">
        <w:rPr>
          <w:sz w:val="22"/>
          <w:szCs w:val="22"/>
        </w:rPr>
        <w:t xml:space="preserve"> or otherwise obtained by the Department</w:t>
      </w:r>
      <w:r w:rsidRPr="001577C6">
        <w:rPr>
          <w:sz w:val="22"/>
          <w:szCs w:val="22"/>
        </w:rPr>
        <w:t xml:space="preserve">, and the conditions specified in the draft permit.  No air quality modeling analysis is required because the project does not result in a significant increase in emissions.  </w:t>
      </w:r>
      <w:r w:rsidR="009826BE" w:rsidRPr="001577C6">
        <w:rPr>
          <w:sz w:val="22"/>
          <w:szCs w:val="22"/>
        </w:rPr>
        <w:t>Al Linero</w:t>
      </w:r>
      <w:r w:rsidR="0034713C" w:rsidRPr="001577C6">
        <w:rPr>
          <w:sz w:val="22"/>
          <w:szCs w:val="22"/>
        </w:rPr>
        <w:t xml:space="preserve"> </w:t>
      </w:r>
      <w:r w:rsidRPr="001577C6">
        <w:rPr>
          <w:sz w:val="22"/>
          <w:szCs w:val="22"/>
        </w:rPr>
        <w:t xml:space="preserve">is the project engineer responsible for reviewing the application and drafting the </w:t>
      </w:r>
      <w:r w:rsidR="0034713C" w:rsidRPr="001577C6">
        <w:rPr>
          <w:sz w:val="22"/>
          <w:szCs w:val="22"/>
        </w:rPr>
        <w:t xml:space="preserve">air construction </w:t>
      </w:r>
      <w:r w:rsidRPr="001577C6">
        <w:rPr>
          <w:sz w:val="22"/>
          <w:szCs w:val="22"/>
        </w:rPr>
        <w:t>permit</w:t>
      </w:r>
      <w:r w:rsidR="0034713C" w:rsidRPr="001577C6">
        <w:rPr>
          <w:sz w:val="22"/>
          <w:szCs w:val="22"/>
        </w:rPr>
        <w:t xml:space="preserve"> revision</w:t>
      </w:r>
      <w:r w:rsidRPr="001577C6">
        <w:rPr>
          <w:sz w:val="22"/>
          <w:szCs w:val="22"/>
        </w:rPr>
        <w:t xml:space="preserve">.  Additional details of this analysis may be obtained by contacting the project engineer at the Department’s </w:t>
      </w:r>
      <w:r w:rsidR="006D56C7" w:rsidRPr="001577C6">
        <w:rPr>
          <w:sz w:val="22"/>
          <w:szCs w:val="22"/>
        </w:rPr>
        <w:t xml:space="preserve">Office of Permitting and Compliance </w:t>
      </w:r>
      <w:r w:rsidRPr="001577C6">
        <w:rPr>
          <w:sz w:val="22"/>
          <w:szCs w:val="22"/>
        </w:rPr>
        <w:t>at Mail Station #5505, 2600 Blair Stone Road, Tallahassee, Florida  32399-2400.</w:t>
      </w:r>
    </w:p>
    <w:sectPr w:rsidR="00DD454C" w:rsidSect="005413BE">
      <w:headerReference w:type="even" r:id="rId35"/>
      <w:headerReference w:type="default" r:id="rId36"/>
      <w:headerReference w:type="first" r:id="rId37"/>
      <w:footerReference w:type="first" r:id="rId38"/>
      <w:pgSz w:w="12240" w:h="15840" w:code="1"/>
      <w:pgMar w:top="720" w:right="1080" w:bottom="720" w:left="1080" w:header="720" w:footer="445" w:gutter="0"/>
      <w:paperSrc w:first="15" w:other="15"/>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34F3" w:rsidRDefault="00A834F3">
      <w:r>
        <w:separator/>
      </w:r>
    </w:p>
  </w:endnote>
  <w:endnote w:type="continuationSeparator" w:id="0">
    <w:p w:rsidR="00A834F3" w:rsidRDefault="00A83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rebuchet MS">
    <w:panose1 w:val="020B0603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entury Schoolbook">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34F3" w:rsidRPr="00851FB4" w:rsidRDefault="00A834F3" w:rsidP="00851FB4">
    <w:pPr>
      <w:pBdr>
        <w:top w:val="single" w:sz="6" w:space="1" w:color="auto"/>
      </w:pBdr>
      <w:tabs>
        <w:tab w:val="right" w:pos="10080"/>
      </w:tabs>
      <w:spacing w:before="240"/>
      <w:rPr>
        <w:rStyle w:val="PageNumber"/>
      </w:rPr>
    </w:pPr>
    <w:r w:rsidRPr="00851FB4">
      <w:rPr>
        <w:rStyle w:val="PageNumber"/>
      </w:rPr>
      <w:t>Florida Power and Light Company</w:t>
    </w:r>
    <w:r w:rsidRPr="00851FB4">
      <w:rPr>
        <w:rStyle w:val="PageNumber"/>
      </w:rPr>
      <w:tab/>
      <w:t xml:space="preserve">DEP File No. </w:t>
    </w:r>
    <w:r w:rsidRPr="00851FB4">
      <w:t>0710002-</w:t>
    </w:r>
    <w:r>
      <w:t>021</w:t>
    </w:r>
    <w:r w:rsidRPr="00851FB4">
      <w:t>-AC</w:t>
    </w:r>
  </w:p>
  <w:p w:rsidR="00A834F3" w:rsidRPr="00851FB4" w:rsidRDefault="00A834F3" w:rsidP="00851FB4">
    <w:pPr>
      <w:pBdr>
        <w:top w:val="single" w:sz="6" w:space="1" w:color="auto"/>
      </w:pBdr>
      <w:tabs>
        <w:tab w:val="right" w:pos="10080"/>
      </w:tabs>
      <w:spacing w:after="120"/>
      <w:rPr>
        <w:rStyle w:val="PageNumber"/>
      </w:rPr>
    </w:pPr>
    <w:r w:rsidRPr="00851FB4">
      <w:rPr>
        <w:rStyle w:val="PageNumber"/>
      </w:rPr>
      <w:t>F</w:t>
    </w:r>
    <w:r>
      <w:rPr>
        <w:rStyle w:val="PageNumber"/>
      </w:rPr>
      <w:t>or</w:t>
    </w:r>
    <w:r w:rsidRPr="00851FB4">
      <w:rPr>
        <w:rStyle w:val="PageNumber"/>
      </w:rPr>
      <w:t>t Myers Power Plant</w:t>
    </w:r>
    <w:r>
      <w:rPr>
        <w:rStyle w:val="PageNumber"/>
      </w:rPr>
      <w:t xml:space="preserve"> Unit 2</w:t>
    </w:r>
    <w:r w:rsidRPr="00851FB4">
      <w:rPr>
        <w:rStyle w:val="PageNumber"/>
      </w:rPr>
      <w:tab/>
    </w:r>
    <w:r>
      <w:rPr>
        <w:rStyle w:val="PageNumber"/>
      </w:rPr>
      <w:t>Turbine Components GE 7FA.04 &amp; 7FA.05</w:t>
    </w:r>
  </w:p>
  <w:p w:rsidR="00A834F3" w:rsidRPr="00D94B78" w:rsidRDefault="00A834F3" w:rsidP="00D94B78">
    <w:pPr>
      <w:pStyle w:val="Footer"/>
      <w:jc w:val="center"/>
    </w:pPr>
    <w:r w:rsidRPr="00D94B78">
      <w:t xml:space="preserve">Page </w:t>
    </w:r>
    <w:r w:rsidRPr="00D94B78">
      <w:rPr>
        <w:bCs/>
      </w:rPr>
      <w:fldChar w:fldCharType="begin"/>
    </w:r>
    <w:r w:rsidRPr="00D94B78">
      <w:rPr>
        <w:bCs/>
      </w:rPr>
      <w:instrText xml:space="preserve"> PAGE </w:instrText>
    </w:r>
    <w:r w:rsidRPr="00D94B78">
      <w:rPr>
        <w:bCs/>
      </w:rPr>
      <w:fldChar w:fldCharType="separate"/>
    </w:r>
    <w:r w:rsidR="00634733">
      <w:rPr>
        <w:bCs/>
        <w:noProof/>
      </w:rPr>
      <w:t>5</w:t>
    </w:r>
    <w:r w:rsidRPr="00D94B78">
      <w:rPr>
        <w:bC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34F3" w:rsidRDefault="00A834F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34F3" w:rsidRDefault="00A834F3">
      <w:r>
        <w:separator/>
      </w:r>
    </w:p>
  </w:footnote>
  <w:footnote w:type="continuationSeparator" w:id="0">
    <w:p w:rsidR="00A834F3" w:rsidRDefault="00A834F3">
      <w:r>
        <w:continuationSeparator/>
      </w:r>
    </w:p>
  </w:footnote>
  <w:footnote w:id="1">
    <w:p w:rsidR="00A834F3" w:rsidRDefault="00A834F3" w:rsidP="00F07286">
      <w:pPr>
        <w:pStyle w:val="FootnoteText"/>
        <w:tabs>
          <w:tab w:val="left" w:pos="360"/>
        </w:tabs>
        <w:ind w:left="360" w:hanging="360"/>
        <w:rPr>
          <w:rFonts w:eastAsia="Calibri"/>
        </w:rPr>
      </w:pPr>
      <w:r>
        <w:rPr>
          <w:rStyle w:val="FootnoteReference"/>
        </w:rPr>
        <w:footnoteRef/>
      </w:r>
      <w:r>
        <w:t xml:space="preserve"> </w:t>
      </w:r>
      <w:r>
        <w:tab/>
      </w:r>
      <w:r w:rsidRPr="00453FE3">
        <w:rPr>
          <w:rFonts w:eastAsia="Calibri"/>
        </w:rPr>
        <w:t xml:space="preserve">U.S. Supreme Court opinion dated June 23, 2014.  </w:t>
      </w:r>
      <w:hyperlink r:id="rId1" w:history="1">
        <w:r w:rsidRPr="00453FE3">
          <w:rPr>
            <w:rStyle w:val="Hyperlink"/>
            <w:rFonts w:cs="Century Schoolbook"/>
          </w:rPr>
          <w:t>Link to Supreme Court Opinion</w:t>
        </w:r>
      </w:hyperlink>
      <w:r w:rsidRPr="00453FE3">
        <w:t xml:space="preserve">  </w:t>
      </w:r>
      <w:r w:rsidRPr="00453FE3">
        <w:rPr>
          <w:rFonts w:eastAsia="Calibri"/>
        </w:rPr>
        <w:t xml:space="preserve">EPA guidance dated July 24, 2014.  </w:t>
      </w:r>
      <w:hyperlink r:id="rId2" w:history="1">
        <w:r w:rsidRPr="00453FE3">
          <w:rPr>
            <w:rStyle w:val="Hyperlink"/>
            <w:rFonts w:eastAsia="Calibri"/>
          </w:rPr>
          <w:t>Link to EPA Guidance</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34F3" w:rsidRDefault="00A834F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34F3" w:rsidRDefault="00A834F3">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34F3" w:rsidRDefault="00A834F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402"/>
    <w:multiLevelType w:val="multilevel"/>
    <w:tmpl w:val="00000885"/>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00" w:hanging="168"/>
      </w:pPr>
    </w:lvl>
    <w:lvl w:ilvl="2">
      <w:numFmt w:val="bullet"/>
      <w:lvlText w:val="•"/>
      <w:lvlJc w:val="left"/>
      <w:pPr>
        <w:ind w:left="432" w:hanging="168"/>
      </w:pPr>
    </w:lvl>
    <w:lvl w:ilvl="3">
      <w:numFmt w:val="bullet"/>
      <w:lvlText w:val="•"/>
      <w:lvlJc w:val="left"/>
      <w:pPr>
        <w:ind w:left="565" w:hanging="168"/>
      </w:pPr>
    </w:lvl>
    <w:lvl w:ilvl="4">
      <w:numFmt w:val="bullet"/>
      <w:lvlText w:val="•"/>
      <w:lvlJc w:val="left"/>
      <w:pPr>
        <w:ind w:left="697" w:hanging="168"/>
      </w:pPr>
    </w:lvl>
    <w:lvl w:ilvl="5">
      <w:numFmt w:val="bullet"/>
      <w:lvlText w:val="•"/>
      <w:lvlJc w:val="left"/>
      <w:pPr>
        <w:ind w:left="829" w:hanging="168"/>
      </w:pPr>
    </w:lvl>
    <w:lvl w:ilvl="6">
      <w:numFmt w:val="bullet"/>
      <w:lvlText w:val="•"/>
      <w:lvlJc w:val="left"/>
      <w:pPr>
        <w:ind w:left="962" w:hanging="168"/>
      </w:pPr>
    </w:lvl>
    <w:lvl w:ilvl="7">
      <w:numFmt w:val="bullet"/>
      <w:lvlText w:val="•"/>
      <w:lvlJc w:val="left"/>
      <w:pPr>
        <w:ind w:left="1094" w:hanging="168"/>
      </w:pPr>
    </w:lvl>
    <w:lvl w:ilvl="8">
      <w:numFmt w:val="bullet"/>
      <w:lvlText w:val="•"/>
      <w:lvlJc w:val="left"/>
      <w:pPr>
        <w:ind w:left="1226" w:hanging="168"/>
      </w:pPr>
    </w:lvl>
  </w:abstractNum>
  <w:abstractNum w:abstractNumId="1">
    <w:nsid w:val="00000403"/>
    <w:multiLevelType w:val="multilevel"/>
    <w:tmpl w:val="00000886"/>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12" w:hanging="168"/>
      </w:pPr>
    </w:lvl>
    <w:lvl w:ilvl="2">
      <w:numFmt w:val="bullet"/>
      <w:lvlText w:val="•"/>
      <w:lvlJc w:val="left"/>
      <w:pPr>
        <w:ind w:left="457" w:hanging="168"/>
      </w:pPr>
    </w:lvl>
    <w:lvl w:ilvl="3">
      <w:numFmt w:val="bullet"/>
      <w:lvlText w:val="•"/>
      <w:lvlJc w:val="left"/>
      <w:pPr>
        <w:ind w:left="602" w:hanging="168"/>
      </w:pPr>
    </w:lvl>
    <w:lvl w:ilvl="4">
      <w:numFmt w:val="bullet"/>
      <w:lvlText w:val="•"/>
      <w:lvlJc w:val="left"/>
      <w:pPr>
        <w:ind w:left="747" w:hanging="168"/>
      </w:pPr>
    </w:lvl>
    <w:lvl w:ilvl="5">
      <w:numFmt w:val="bullet"/>
      <w:lvlText w:val="•"/>
      <w:lvlJc w:val="left"/>
      <w:pPr>
        <w:ind w:left="892" w:hanging="168"/>
      </w:pPr>
    </w:lvl>
    <w:lvl w:ilvl="6">
      <w:numFmt w:val="bullet"/>
      <w:lvlText w:val="•"/>
      <w:lvlJc w:val="left"/>
      <w:pPr>
        <w:ind w:left="1037" w:hanging="168"/>
      </w:pPr>
    </w:lvl>
    <w:lvl w:ilvl="7">
      <w:numFmt w:val="bullet"/>
      <w:lvlText w:val="•"/>
      <w:lvlJc w:val="left"/>
      <w:pPr>
        <w:ind w:left="1181" w:hanging="168"/>
      </w:pPr>
    </w:lvl>
    <w:lvl w:ilvl="8">
      <w:numFmt w:val="bullet"/>
      <w:lvlText w:val="•"/>
      <w:lvlJc w:val="left"/>
      <w:pPr>
        <w:ind w:left="1326" w:hanging="168"/>
      </w:pPr>
    </w:lvl>
  </w:abstractNum>
  <w:abstractNum w:abstractNumId="2">
    <w:nsid w:val="00000404"/>
    <w:multiLevelType w:val="multilevel"/>
    <w:tmpl w:val="00000887"/>
    <w:lvl w:ilvl="0">
      <w:numFmt w:val="bullet"/>
      <w:lvlText w:val="•"/>
      <w:lvlJc w:val="left"/>
      <w:pPr>
        <w:ind w:hanging="168"/>
      </w:pPr>
      <w:rPr>
        <w:rFonts w:ascii="Trebuchet MS" w:hAnsi="Trebuchet MS" w:cs="Trebuchet MS"/>
        <w:b w:val="0"/>
        <w:bCs w:val="0"/>
        <w:color w:val="1D4091"/>
        <w:w w:val="89"/>
        <w:sz w:val="24"/>
        <w:szCs w:val="24"/>
      </w:rPr>
    </w:lvl>
    <w:lvl w:ilvl="1">
      <w:numFmt w:val="bullet"/>
      <w:lvlText w:val="•"/>
      <w:lvlJc w:val="left"/>
      <w:pPr>
        <w:ind w:left="161" w:hanging="168"/>
      </w:pPr>
    </w:lvl>
    <w:lvl w:ilvl="2">
      <w:numFmt w:val="bullet"/>
      <w:lvlText w:val="•"/>
      <w:lvlJc w:val="left"/>
      <w:pPr>
        <w:ind w:left="323" w:hanging="168"/>
      </w:pPr>
    </w:lvl>
    <w:lvl w:ilvl="3">
      <w:numFmt w:val="bullet"/>
      <w:lvlText w:val="•"/>
      <w:lvlJc w:val="left"/>
      <w:pPr>
        <w:ind w:left="484" w:hanging="168"/>
      </w:pPr>
    </w:lvl>
    <w:lvl w:ilvl="4">
      <w:numFmt w:val="bullet"/>
      <w:lvlText w:val="•"/>
      <w:lvlJc w:val="left"/>
      <w:pPr>
        <w:ind w:left="646" w:hanging="168"/>
      </w:pPr>
    </w:lvl>
    <w:lvl w:ilvl="5">
      <w:numFmt w:val="bullet"/>
      <w:lvlText w:val="•"/>
      <w:lvlJc w:val="left"/>
      <w:pPr>
        <w:ind w:left="808" w:hanging="168"/>
      </w:pPr>
    </w:lvl>
    <w:lvl w:ilvl="6">
      <w:numFmt w:val="bullet"/>
      <w:lvlText w:val="•"/>
      <w:lvlJc w:val="left"/>
      <w:pPr>
        <w:ind w:left="969" w:hanging="168"/>
      </w:pPr>
    </w:lvl>
    <w:lvl w:ilvl="7">
      <w:numFmt w:val="bullet"/>
      <w:lvlText w:val="•"/>
      <w:lvlJc w:val="left"/>
      <w:pPr>
        <w:ind w:left="1131" w:hanging="168"/>
      </w:pPr>
    </w:lvl>
    <w:lvl w:ilvl="8">
      <w:numFmt w:val="bullet"/>
      <w:lvlText w:val="•"/>
      <w:lvlJc w:val="left"/>
      <w:pPr>
        <w:ind w:left="1293" w:hanging="168"/>
      </w:pPr>
    </w:lvl>
  </w:abstractNum>
  <w:abstractNum w:abstractNumId="3">
    <w:nsid w:val="00000405"/>
    <w:multiLevelType w:val="multilevel"/>
    <w:tmpl w:val="00000888"/>
    <w:lvl w:ilvl="0">
      <w:numFmt w:val="bullet"/>
      <w:lvlText w:val="•"/>
      <w:lvlJc w:val="left"/>
      <w:pPr>
        <w:ind w:hanging="168"/>
      </w:pPr>
      <w:rPr>
        <w:rFonts w:ascii="Trebuchet MS" w:hAnsi="Trebuchet MS" w:cs="Trebuchet MS"/>
        <w:b w:val="0"/>
        <w:bCs w:val="0"/>
        <w:color w:val="1D4091"/>
        <w:w w:val="89"/>
        <w:sz w:val="24"/>
        <w:szCs w:val="24"/>
      </w:rPr>
    </w:lvl>
    <w:lvl w:ilvl="1">
      <w:numFmt w:val="bullet"/>
      <w:lvlText w:val="•"/>
      <w:lvlJc w:val="left"/>
      <w:pPr>
        <w:ind w:left="171" w:hanging="168"/>
      </w:pPr>
    </w:lvl>
    <w:lvl w:ilvl="2">
      <w:numFmt w:val="bullet"/>
      <w:lvlText w:val="•"/>
      <w:lvlJc w:val="left"/>
      <w:pPr>
        <w:ind w:left="342" w:hanging="168"/>
      </w:pPr>
    </w:lvl>
    <w:lvl w:ilvl="3">
      <w:numFmt w:val="bullet"/>
      <w:lvlText w:val="•"/>
      <w:lvlJc w:val="left"/>
      <w:pPr>
        <w:ind w:left="514" w:hanging="168"/>
      </w:pPr>
    </w:lvl>
    <w:lvl w:ilvl="4">
      <w:numFmt w:val="bullet"/>
      <w:lvlText w:val="•"/>
      <w:lvlJc w:val="left"/>
      <w:pPr>
        <w:ind w:left="685" w:hanging="168"/>
      </w:pPr>
    </w:lvl>
    <w:lvl w:ilvl="5">
      <w:numFmt w:val="bullet"/>
      <w:lvlText w:val="•"/>
      <w:lvlJc w:val="left"/>
      <w:pPr>
        <w:ind w:left="857" w:hanging="168"/>
      </w:pPr>
    </w:lvl>
    <w:lvl w:ilvl="6">
      <w:numFmt w:val="bullet"/>
      <w:lvlText w:val="•"/>
      <w:lvlJc w:val="left"/>
      <w:pPr>
        <w:ind w:left="1028" w:hanging="168"/>
      </w:pPr>
    </w:lvl>
    <w:lvl w:ilvl="7">
      <w:numFmt w:val="bullet"/>
      <w:lvlText w:val="•"/>
      <w:lvlJc w:val="left"/>
      <w:pPr>
        <w:ind w:left="1199" w:hanging="168"/>
      </w:pPr>
    </w:lvl>
    <w:lvl w:ilvl="8">
      <w:numFmt w:val="bullet"/>
      <w:lvlText w:val="•"/>
      <w:lvlJc w:val="left"/>
      <w:pPr>
        <w:ind w:left="1371" w:hanging="168"/>
      </w:pPr>
    </w:lvl>
  </w:abstractNum>
  <w:abstractNum w:abstractNumId="4">
    <w:nsid w:val="00000406"/>
    <w:multiLevelType w:val="multilevel"/>
    <w:tmpl w:val="00000889"/>
    <w:lvl w:ilvl="0">
      <w:numFmt w:val="bullet"/>
      <w:lvlText w:val="•"/>
      <w:lvlJc w:val="left"/>
      <w:pPr>
        <w:ind w:hanging="168"/>
      </w:pPr>
      <w:rPr>
        <w:rFonts w:ascii="Trebuchet MS" w:hAnsi="Trebuchet MS" w:cs="Trebuchet MS"/>
        <w:b w:val="0"/>
        <w:bCs w:val="0"/>
        <w:color w:val="1D4091"/>
        <w:w w:val="89"/>
        <w:sz w:val="24"/>
        <w:szCs w:val="24"/>
      </w:rPr>
    </w:lvl>
    <w:lvl w:ilvl="1">
      <w:numFmt w:val="bullet"/>
      <w:lvlText w:val="•"/>
      <w:lvlJc w:val="left"/>
      <w:pPr>
        <w:ind w:left="171" w:hanging="168"/>
      </w:pPr>
    </w:lvl>
    <w:lvl w:ilvl="2">
      <w:numFmt w:val="bullet"/>
      <w:lvlText w:val="•"/>
      <w:lvlJc w:val="left"/>
      <w:pPr>
        <w:ind w:left="342" w:hanging="168"/>
      </w:pPr>
    </w:lvl>
    <w:lvl w:ilvl="3">
      <w:numFmt w:val="bullet"/>
      <w:lvlText w:val="•"/>
      <w:lvlJc w:val="left"/>
      <w:pPr>
        <w:ind w:left="514" w:hanging="168"/>
      </w:pPr>
    </w:lvl>
    <w:lvl w:ilvl="4">
      <w:numFmt w:val="bullet"/>
      <w:lvlText w:val="•"/>
      <w:lvlJc w:val="left"/>
      <w:pPr>
        <w:ind w:left="685" w:hanging="168"/>
      </w:pPr>
    </w:lvl>
    <w:lvl w:ilvl="5">
      <w:numFmt w:val="bullet"/>
      <w:lvlText w:val="•"/>
      <w:lvlJc w:val="left"/>
      <w:pPr>
        <w:ind w:left="857" w:hanging="168"/>
      </w:pPr>
    </w:lvl>
    <w:lvl w:ilvl="6">
      <w:numFmt w:val="bullet"/>
      <w:lvlText w:val="•"/>
      <w:lvlJc w:val="left"/>
      <w:pPr>
        <w:ind w:left="1028" w:hanging="168"/>
      </w:pPr>
    </w:lvl>
    <w:lvl w:ilvl="7">
      <w:numFmt w:val="bullet"/>
      <w:lvlText w:val="•"/>
      <w:lvlJc w:val="left"/>
      <w:pPr>
        <w:ind w:left="1199" w:hanging="168"/>
      </w:pPr>
    </w:lvl>
    <w:lvl w:ilvl="8">
      <w:numFmt w:val="bullet"/>
      <w:lvlText w:val="•"/>
      <w:lvlJc w:val="left"/>
      <w:pPr>
        <w:ind w:left="1371" w:hanging="168"/>
      </w:pPr>
    </w:lvl>
  </w:abstractNum>
  <w:abstractNum w:abstractNumId="5">
    <w:nsid w:val="00000407"/>
    <w:multiLevelType w:val="multilevel"/>
    <w:tmpl w:val="0000088A"/>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6">
    <w:nsid w:val="00000408"/>
    <w:multiLevelType w:val="multilevel"/>
    <w:tmpl w:val="0000088B"/>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7">
    <w:nsid w:val="00000409"/>
    <w:multiLevelType w:val="multilevel"/>
    <w:tmpl w:val="0000088C"/>
    <w:lvl w:ilvl="0">
      <w:numFmt w:val="bullet"/>
      <w:lvlText w:val="•"/>
      <w:lvlJc w:val="left"/>
      <w:pPr>
        <w:ind w:left="168"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8">
    <w:nsid w:val="0000040A"/>
    <w:multiLevelType w:val="multilevel"/>
    <w:tmpl w:val="0000088D"/>
    <w:lvl w:ilvl="0">
      <w:numFmt w:val="bullet"/>
      <w:lvlText w:val="•"/>
      <w:lvlJc w:val="left"/>
      <w:pPr>
        <w:ind w:hanging="168"/>
      </w:pPr>
      <w:rPr>
        <w:rFonts w:ascii="Trebuchet MS" w:hAnsi="Trebuchet MS" w:cs="Trebuchet MS"/>
        <w:b w:val="0"/>
        <w:bCs w:val="0"/>
        <w:color w:val="1D4091"/>
        <w:w w:val="89"/>
        <w:sz w:val="24"/>
        <w:szCs w:val="24"/>
      </w:rPr>
    </w:lvl>
    <w:lvl w:ilvl="1">
      <w:numFmt w:val="bullet"/>
      <w:lvlText w:val="•"/>
      <w:lvlJc w:val="left"/>
      <w:pPr>
        <w:ind w:left="171" w:hanging="168"/>
      </w:pPr>
    </w:lvl>
    <w:lvl w:ilvl="2">
      <w:numFmt w:val="bullet"/>
      <w:lvlText w:val="•"/>
      <w:lvlJc w:val="left"/>
      <w:pPr>
        <w:ind w:left="342" w:hanging="168"/>
      </w:pPr>
    </w:lvl>
    <w:lvl w:ilvl="3">
      <w:numFmt w:val="bullet"/>
      <w:lvlText w:val="•"/>
      <w:lvlJc w:val="left"/>
      <w:pPr>
        <w:ind w:left="514" w:hanging="168"/>
      </w:pPr>
    </w:lvl>
    <w:lvl w:ilvl="4">
      <w:numFmt w:val="bullet"/>
      <w:lvlText w:val="•"/>
      <w:lvlJc w:val="left"/>
      <w:pPr>
        <w:ind w:left="685" w:hanging="168"/>
      </w:pPr>
    </w:lvl>
    <w:lvl w:ilvl="5">
      <w:numFmt w:val="bullet"/>
      <w:lvlText w:val="•"/>
      <w:lvlJc w:val="left"/>
      <w:pPr>
        <w:ind w:left="857" w:hanging="168"/>
      </w:pPr>
    </w:lvl>
    <w:lvl w:ilvl="6">
      <w:numFmt w:val="bullet"/>
      <w:lvlText w:val="•"/>
      <w:lvlJc w:val="left"/>
      <w:pPr>
        <w:ind w:left="1028" w:hanging="168"/>
      </w:pPr>
    </w:lvl>
    <w:lvl w:ilvl="7">
      <w:numFmt w:val="bullet"/>
      <w:lvlText w:val="•"/>
      <w:lvlJc w:val="left"/>
      <w:pPr>
        <w:ind w:left="1199" w:hanging="168"/>
      </w:pPr>
    </w:lvl>
    <w:lvl w:ilvl="8">
      <w:numFmt w:val="bullet"/>
      <w:lvlText w:val="•"/>
      <w:lvlJc w:val="left"/>
      <w:pPr>
        <w:ind w:left="1371" w:hanging="168"/>
      </w:pPr>
    </w:lvl>
  </w:abstractNum>
  <w:abstractNum w:abstractNumId="9">
    <w:nsid w:val="0000040B"/>
    <w:multiLevelType w:val="multilevel"/>
    <w:tmpl w:val="0000088E"/>
    <w:lvl w:ilvl="0">
      <w:numFmt w:val="bullet"/>
      <w:lvlText w:val="•"/>
      <w:lvlJc w:val="left"/>
      <w:pPr>
        <w:ind w:hanging="168"/>
      </w:pPr>
      <w:rPr>
        <w:rFonts w:ascii="Trebuchet MS" w:hAnsi="Trebuchet MS" w:cs="Trebuchet MS"/>
        <w:b w:val="0"/>
        <w:bCs w:val="0"/>
        <w:color w:val="1D4091"/>
        <w:w w:val="89"/>
        <w:sz w:val="24"/>
        <w:szCs w:val="24"/>
      </w:rPr>
    </w:lvl>
    <w:lvl w:ilvl="1">
      <w:numFmt w:val="bullet"/>
      <w:lvlText w:val="•"/>
      <w:lvlJc w:val="left"/>
      <w:pPr>
        <w:ind w:left="171" w:hanging="168"/>
      </w:pPr>
    </w:lvl>
    <w:lvl w:ilvl="2">
      <w:numFmt w:val="bullet"/>
      <w:lvlText w:val="•"/>
      <w:lvlJc w:val="left"/>
      <w:pPr>
        <w:ind w:left="342" w:hanging="168"/>
      </w:pPr>
    </w:lvl>
    <w:lvl w:ilvl="3">
      <w:numFmt w:val="bullet"/>
      <w:lvlText w:val="•"/>
      <w:lvlJc w:val="left"/>
      <w:pPr>
        <w:ind w:left="514" w:hanging="168"/>
      </w:pPr>
    </w:lvl>
    <w:lvl w:ilvl="4">
      <w:numFmt w:val="bullet"/>
      <w:lvlText w:val="•"/>
      <w:lvlJc w:val="left"/>
      <w:pPr>
        <w:ind w:left="685" w:hanging="168"/>
      </w:pPr>
    </w:lvl>
    <w:lvl w:ilvl="5">
      <w:numFmt w:val="bullet"/>
      <w:lvlText w:val="•"/>
      <w:lvlJc w:val="left"/>
      <w:pPr>
        <w:ind w:left="857" w:hanging="168"/>
      </w:pPr>
    </w:lvl>
    <w:lvl w:ilvl="6">
      <w:numFmt w:val="bullet"/>
      <w:lvlText w:val="•"/>
      <w:lvlJc w:val="left"/>
      <w:pPr>
        <w:ind w:left="1028" w:hanging="168"/>
      </w:pPr>
    </w:lvl>
    <w:lvl w:ilvl="7">
      <w:numFmt w:val="bullet"/>
      <w:lvlText w:val="•"/>
      <w:lvlJc w:val="left"/>
      <w:pPr>
        <w:ind w:left="1199" w:hanging="168"/>
      </w:pPr>
    </w:lvl>
    <w:lvl w:ilvl="8">
      <w:numFmt w:val="bullet"/>
      <w:lvlText w:val="•"/>
      <w:lvlJc w:val="left"/>
      <w:pPr>
        <w:ind w:left="1371" w:hanging="168"/>
      </w:pPr>
    </w:lvl>
  </w:abstractNum>
  <w:abstractNum w:abstractNumId="10">
    <w:nsid w:val="0000040C"/>
    <w:multiLevelType w:val="multilevel"/>
    <w:tmpl w:val="0000088F"/>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11">
    <w:nsid w:val="0000040D"/>
    <w:multiLevelType w:val="multilevel"/>
    <w:tmpl w:val="00000890"/>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12">
    <w:nsid w:val="0000040E"/>
    <w:multiLevelType w:val="multilevel"/>
    <w:tmpl w:val="00000891"/>
    <w:lvl w:ilvl="0">
      <w:numFmt w:val="bullet"/>
      <w:lvlText w:val="•"/>
      <w:lvlJc w:val="left"/>
      <w:pPr>
        <w:ind w:left="168"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13">
    <w:nsid w:val="0000040F"/>
    <w:multiLevelType w:val="multilevel"/>
    <w:tmpl w:val="00000892"/>
    <w:lvl w:ilvl="0">
      <w:numFmt w:val="bullet"/>
      <w:lvlText w:val="•"/>
      <w:lvlJc w:val="left"/>
      <w:pPr>
        <w:ind w:hanging="168"/>
      </w:pPr>
      <w:rPr>
        <w:rFonts w:ascii="Trebuchet MS" w:hAnsi="Trebuchet MS" w:cs="Trebuchet MS"/>
        <w:b w:val="0"/>
        <w:bCs w:val="0"/>
        <w:color w:val="1D4091"/>
        <w:w w:val="89"/>
        <w:sz w:val="24"/>
        <w:szCs w:val="24"/>
      </w:rPr>
    </w:lvl>
    <w:lvl w:ilvl="1">
      <w:numFmt w:val="bullet"/>
      <w:lvlText w:val="•"/>
      <w:lvlJc w:val="left"/>
      <w:pPr>
        <w:ind w:left="171" w:hanging="168"/>
      </w:pPr>
    </w:lvl>
    <w:lvl w:ilvl="2">
      <w:numFmt w:val="bullet"/>
      <w:lvlText w:val="•"/>
      <w:lvlJc w:val="left"/>
      <w:pPr>
        <w:ind w:left="342" w:hanging="168"/>
      </w:pPr>
    </w:lvl>
    <w:lvl w:ilvl="3">
      <w:numFmt w:val="bullet"/>
      <w:lvlText w:val="•"/>
      <w:lvlJc w:val="left"/>
      <w:pPr>
        <w:ind w:left="514" w:hanging="168"/>
      </w:pPr>
    </w:lvl>
    <w:lvl w:ilvl="4">
      <w:numFmt w:val="bullet"/>
      <w:lvlText w:val="•"/>
      <w:lvlJc w:val="left"/>
      <w:pPr>
        <w:ind w:left="685" w:hanging="168"/>
      </w:pPr>
    </w:lvl>
    <w:lvl w:ilvl="5">
      <w:numFmt w:val="bullet"/>
      <w:lvlText w:val="•"/>
      <w:lvlJc w:val="left"/>
      <w:pPr>
        <w:ind w:left="857" w:hanging="168"/>
      </w:pPr>
    </w:lvl>
    <w:lvl w:ilvl="6">
      <w:numFmt w:val="bullet"/>
      <w:lvlText w:val="•"/>
      <w:lvlJc w:val="left"/>
      <w:pPr>
        <w:ind w:left="1028" w:hanging="168"/>
      </w:pPr>
    </w:lvl>
    <w:lvl w:ilvl="7">
      <w:numFmt w:val="bullet"/>
      <w:lvlText w:val="•"/>
      <w:lvlJc w:val="left"/>
      <w:pPr>
        <w:ind w:left="1199" w:hanging="168"/>
      </w:pPr>
    </w:lvl>
    <w:lvl w:ilvl="8">
      <w:numFmt w:val="bullet"/>
      <w:lvlText w:val="•"/>
      <w:lvlJc w:val="left"/>
      <w:pPr>
        <w:ind w:left="1371" w:hanging="168"/>
      </w:pPr>
    </w:lvl>
  </w:abstractNum>
  <w:abstractNum w:abstractNumId="14">
    <w:nsid w:val="00000410"/>
    <w:multiLevelType w:val="multilevel"/>
    <w:tmpl w:val="00000893"/>
    <w:lvl w:ilvl="0">
      <w:numFmt w:val="bullet"/>
      <w:lvlText w:val="•"/>
      <w:lvlJc w:val="left"/>
      <w:pPr>
        <w:ind w:hanging="168"/>
      </w:pPr>
      <w:rPr>
        <w:rFonts w:ascii="Trebuchet MS" w:hAnsi="Trebuchet MS" w:cs="Trebuchet MS"/>
        <w:b w:val="0"/>
        <w:bCs w:val="0"/>
        <w:color w:val="1D4091"/>
        <w:w w:val="89"/>
        <w:sz w:val="24"/>
        <w:szCs w:val="24"/>
      </w:rPr>
    </w:lvl>
    <w:lvl w:ilvl="1">
      <w:numFmt w:val="bullet"/>
      <w:lvlText w:val="•"/>
      <w:lvlJc w:val="left"/>
      <w:pPr>
        <w:ind w:left="171" w:hanging="168"/>
      </w:pPr>
    </w:lvl>
    <w:lvl w:ilvl="2">
      <w:numFmt w:val="bullet"/>
      <w:lvlText w:val="•"/>
      <w:lvlJc w:val="left"/>
      <w:pPr>
        <w:ind w:left="342" w:hanging="168"/>
      </w:pPr>
    </w:lvl>
    <w:lvl w:ilvl="3">
      <w:numFmt w:val="bullet"/>
      <w:lvlText w:val="•"/>
      <w:lvlJc w:val="left"/>
      <w:pPr>
        <w:ind w:left="514" w:hanging="168"/>
      </w:pPr>
    </w:lvl>
    <w:lvl w:ilvl="4">
      <w:numFmt w:val="bullet"/>
      <w:lvlText w:val="•"/>
      <w:lvlJc w:val="left"/>
      <w:pPr>
        <w:ind w:left="685" w:hanging="168"/>
      </w:pPr>
    </w:lvl>
    <w:lvl w:ilvl="5">
      <w:numFmt w:val="bullet"/>
      <w:lvlText w:val="•"/>
      <w:lvlJc w:val="left"/>
      <w:pPr>
        <w:ind w:left="857" w:hanging="168"/>
      </w:pPr>
    </w:lvl>
    <w:lvl w:ilvl="6">
      <w:numFmt w:val="bullet"/>
      <w:lvlText w:val="•"/>
      <w:lvlJc w:val="left"/>
      <w:pPr>
        <w:ind w:left="1028" w:hanging="168"/>
      </w:pPr>
    </w:lvl>
    <w:lvl w:ilvl="7">
      <w:numFmt w:val="bullet"/>
      <w:lvlText w:val="•"/>
      <w:lvlJc w:val="left"/>
      <w:pPr>
        <w:ind w:left="1199" w:hanging="168"/>
      </w:pPr>
    </w:lvl>
    <w:lvl w:ilvl="8">
      <w:numFmt w:val="bullet"/>
      <w:lvlText w:val="•"/>
      <w:lvlJc w:val="left"/>
      <w:pPr>
        <w:ind w:left="1371" w:hanging="168"/>
      </w:pPr>
    </w:lvl>
  </w:abstractNum>
  <w:abstractNum w:abstractNumId="15">
    <w:nsid w:val="00000411"/>
    <w:multiLevelType w:val="multilevel"/>
    <w:tmpl w:val="00000894"/>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16">
    <w:nsid w:val="00000412"/>
    <w:multiLevelType w:val="multilevel"/>
    <w:tmpl w:val="00000895"/>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17">
    <w:nsid w:val="00000413"/>
    <w:multiLevelType w:val="multilevel"/>
    <w:tmpl w:val="00000896"/>
    <w:lvl w:ilvl="0">
      <w:numFmt w:val="bullet"/>
      <w:lvlText w:val="•"/>
      <w:lvlJc w:val="left"/>
      <w:pPr>
        <w:ind w:left="168"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18">
    <w:nsid w:val="00000414"/>
    <w:multiLevelType w:val="multilevel"/>
    <w:tmpl w:val="00000897"/>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19">
    <w:nsid w:val="00000415"/>
    <w:multiLevelType w:val="multilevel"/>
    <w:tmpl w:val="00000898"/>
    <w:lvl w:ilvl="0">
      <w:numFmt w:val="bullet"/>
      <w:lvlText w:val="•"/>
      <w:lvlJc w:val="left"/>
      <w:pPr>
        <w:ind w:left="167" w:hanging="168"/>
      </w:pPr>
      <w:rPr>
        <w:rFonts w:ascii="Trebuchet MS" w:hAnsi="Trebuchet MS" w:cs="Trebuchet MS"/>
        <w:b w:val="0"/>
        <w:bCs w:val="0"/>
        <w:color w:val="1D4091"/>
        <w:w w:val="89"/>
        <w:sz w:val="24"/>
        <w:szCs w:val="24"/>
      </w:rPr>
    </w:lvl>
    <w:lvl w:ilvl="1">
      <w:numFmt w:val="bullet"/>
      <w:lvlText w:val="•"/>
      <w:lvlJc w:val="left"/>
      <w:pPr>
        <w:ind w:left="322" w:hanging="168"/>
      </w:pPr>
    </w:lvl>
    <w:lvl w:ilvl="2">
      <w:numFmt w:val="bullet"/>
      <w:lvlText w:val="•"/>
      <w:lvlJc w:val="left"/>
      <w:pPr>
        <w:ind w:left="477" w:hanging="168"/>
      </w:pPr>
    </w:lvl>
    <w:lvl w:ilvl="3">
      <w:numFmt w:val="bullet"/>
      <w:lvlText w:val="•"/>
      <w:lvlJc w:val="left"/>
      <w:pPr>
        <w:ind w:left="631" w:hanging="168"/>
      </w:pPr>
    </w:lvl>
    <w:lvl w:ilvl="4">
      <w:numFmt w:val="bullet"/>
      <w:lvlText w:val="•"/>
      <w:lvlJc w:val="left"/>
      <w:pPr>
        <w:ind w:left="786" w:hanging="168"/>
      </w:pPr>
    </w:lvl>
    <w:lvl w:ilvl="5">
      <w:numFmt w:val="bullet"/>
      <w:lvlText w:val="•"/>
      <w:lvlJc w:val="left"/>
      <w:pPr>
        <w:ind w:left="941" w:hanging="168"/>
      </w:pPr>
    </w:lvl>
    <w:lvl w:ilvl="6">
      <w:numFmt w:val="bullet"/>
      <w:lvlText w:val="•"/>
      <w:lvlJc w:val="left"/>
      <w:pPr>
        <w:ind w:left="1095" w:hanging="168"/>
      </w:pPr>
    </w:lvl>
    <w:lvl w:ilvl="7">
      <w:numFmt w:val="bullet"/>
      <w:lvlText w:val="•"/>
      <w:lvlJc w:val="left"/>
      <w:pPr>
        <w:ind w:left="1250" w:hanging="168"/>
      </w:pPr>
    </w:lvl>
    <w:lvl w:ilvl="8">
      <w:numFmt w:val="bullet"/>
      <w:lvlText w:val="•"/>
      <w:lvlJc w:val="left"/>
      <w:pPr>
        <w:ind w:left="1404" w:hanging="168"/>
      </w:pPr>
    </w:lvl>
  </w:abstractNum>
  <w:abstractNum w:abstractNumId="20">
    <w:nsid w:val="005314A4"/>
    <w:multiLevelType w:val="hybridMultilevel"/>
    <w:tmpl w:val="282217F2"/>
    <w:lvl w:ilvl="0" w:tplc="7F708F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AA57C70"/>
    <w:multiLevelType w:val="hybridMultilevel"/>
    <w:tmpl w:val="531E2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E965133"/>
    <w:multiLevelType w:val="hybridMultilevel"/>
    <w:tmpl w:val="AEFC8C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1463F4A"/>
    <w:multiLevelType w:val="hybridMultilevel"/>
    <w:tmpl w:val="3530F6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4D94E81"/>
    <w:multiLevelType w:val="hybridMultilevel"/>
    <w:tmpl w:val="EA0EAE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BAA5407"/>
    <w:multiLevelType w:val="hybridMultilevel"/>
    <w:tmpl w:val="6C0A1C96"/>
    <w:lvl w:ilvl="0" w:tplc="C4523854">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CB01920"/>
    <w:multiLevelType w:val="hybridMultilevel"/>
    <w:tmpl w:val="4D0C3214"/>
    <w:lvl w:ilvl="0" w:tplc="7AB6370C">
      <w:start w:val="1"/>
      <w:numFmt w:val="decimal"/>
      <w:lvlText w:val="%1."/>
      <w:lvlJc w:val="left"/>
      <w:pPr>
        <w:ind w:left="72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92F05E3"/>
    <w:multiLevelType w:val="hybridMultilevel"/>
    <w:tmpl w:val="1660D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9AE1A46"/>
    <w:multiLevelType w:val="hybridMultilevel"/>
    <w:tmpl w:val="CB4CA848"/>
    <w:lvl w:ilvl="0" w:tplc="C4523854">
      <w:start w:val="1"/>
      <w:numFmt w:val="lowerLetter"/>
      <w:lvlText w:val="(%1)"/>
      <w:lvlJc w:val="left"/>
      <w:pPr>
        <w:ind w:left="1693" w:hanging="360"/>
      </w:pPr>
      <w:rPr>
        <w:rFonts w:hint="default"/>
      </w:rPr>
    </w:lvl>
    <w:lvl w:ilvl="1" w:tplc="04090019" w:tentative="1">
      <w:start w:val="1"/>
      <w:numFmt w:val="lowerLetter"/>
      <w:lvlText w:val="%2."/>
      <w:lvlJc w:val="left"/>
      <w:pPr>
        <w:ind w:left="2413" w:hanging="360"/>
      </w:pPr>
    </w:lvl>
    <w:lvl w:ilvl="2" w:tplc="0409001B" w:tentative="1">
      <w:start w:val="1"/>
      <w:numFmt w:val="lowerRoman"/>
      <w:lvlText w:val="%3."/>
      <w:lvlJc w:val="right"/>
      <w:pPr>
        <w:ind w:left="3133" w:hanging="180"/>
      </w:pPr>
    </w:lvl>
    <w:lvl w:ilvl="3" w:tplc="0409000F" w:tentative="1">
      <w:start w:val="1"/>
      <w:numFmt w:val="decimal"/>
      <w:lvlText w:val="%4."/>
      <w:lvlJc w:val="left"/>
      <w:pPr>
        <w:ind w:left="3853" w:hanging="360"/>
      </w:pPr>
    </w:lvl>
    <w:lvl w:ilvl="4" w:tplc="04090019" w:tentative="1">
      <w:start w:val="1"/>
      <w:numFmt w:val="lowerLetter"/>
      <w:lvlText w:val="%5."/>
      <w:lvlJc w:val="left"/>
      <w:pPr>
        <w:ind w:left="4573" w:hanging="360"/>
      </w:pPr>
    </w:lvl>
    <w:lvl w:ilvl="5" w:tplc="0409001B" w:tentative="1">
      <w:start w:val="1"/>
      <w:numFmt w:val="lowerRoman"/>
      <w:lvlText w:val="%6."/>
      <w:lvlJc w:val="right"/>
      <w:pPr>
        <w:ind w:left="5293" w:hanging="180"/>
      </w:pPr>
    </w:lvl>
    <w:lvl w:ilvl="6" w:tplc="0409000F" w:tentative="1">
      <w:start w:val="1"/>
      <w:numFmt w:val="decimal"/>
      <w:lvlText w:val="%7."/>
      <w:lvlJc w:val="left"/>
      <w:pPr>
        <w:ind w:left="6013" w:hanging="360"/>
      </w:pPr>
    </w:lvl>
    <w:lvl w:ilvl="7" w:tplc="04090019" w:tentative="1">
      <w:start w:val="1"/>
      <w:numFmt w:val="lowerLetter"/>
      <w:lvlText w:val="%8."/>
      <w:lvlJc w:val="left"/>
      <w:pPr>
        <w:ind w:left="6733" w:hanging="360"/>
      </w:pPr>
    </w:lvl>
    <w:lvl w:ilvl="8" w:tplc="0409001B" w:tentative="1">
      <w:start w:val="1"/>
      <w:numFmt w:val="lowerRoman"/>
      <w:lvlText w:val="%9."/>
      <w:lvlJc w:val="right"/>
      <w:pPr>
        <w:ind w:left="7453" w:hanging="180"/>
      </w:pPr>
    </w:lvl>
  </w:abstractNum>
  <w:abstractNum w:abstractNumId="29">
    <w:nsid w:val="3F206365"/>
    <w:multiLevelType w:val="hybridMultilevel"/>
    <w:tmpl w:val="A808AD1A"/>
    <w:lvl w:ilvl="0" w:tplc="0409000F">
      <w:start w:val="1"/>
      <w:numFmt w:val="decimal"/>
      <w:lvlText w:val="%1."/>
      <w:lvlJc w:val="left"/>
      <w:pPr>
        <w:ind w:left="702" w:hanging="360"/>
      </w:pPr>
    </w:lvl>
    <w:lvl w:ilvl="1" w:tplc="4112B84C">
      <w:start w:val="1"/>
      <w:numFmt w:val="decimal"/>
      <w:lvlText w:val="(%2)"/>
      <w:lvlJc w:val="left"/>
      <w:pPr>
        <w:ind w:left="1422" w:hanging="360"/>
      </w:pPr>
      <w:rPr>
        <w:rFonts w:hint="default"/>
      </w:r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30">
    <w:nsid w:val="41995E9D"/>
    <w:multiLevelType w:val="hybridMultilevel"/>
    <w:tmpl w:val="E834A246"/>
    <w:lvl w:ilvl="0" w:tplc="0409000F">
      <w:start w:val="1"/>
      <w:numFmt w:val="decimal"/>
      <w:lvlText w:val="%1."/>
      <w:lvlJc w:val="left"/>
      <w:pPr>
        <w:ind w:left="753" w:hanging="360"/>
      </w:pPr>
    </w:lvl>
    <w:lvl w:ilvl="1" w:tplc="04090019" w:tentative="1">
      <w:start w:val="1"/>
      <w:numFmt w:val="lowerLetter"/>
      <w:lvlText w:val="%2."/>
      <w:lvlJc w:val="left"/>
      <w:pPr>
        <w:ind w:left="1473" w:hanging="360"/>
      </w:pPr>
    </w:lvl>
    <w:lvl w:ilvl="2" w:tplc="0409001B" w:tentative="1">
      <w:start w:val="1"/>
      <w:numFmt w:val="lowerRoman"/>
      <w:lvlText w:val="%3."/>
      <w:lvlJc w:val="right"/>
      <w:pPr>
        <w:ind w:left="2193" w:hanging="180"/>
      </w:pPr>
    </w:lvl>
    <w:lvl w:ilvl="3" w:tplc="0409000F" w:tentative="1">
      <w:start w:val="1"/>
      <w:numFmt w:val="decimal"/>
      <w:lvlText w:val="%4."/>
      <w:lvlJc w:val="left"/>
      <w:pPr>
        <w:ind w:left="2913" w:hanging="360"/>
      </w:pPr>
    </w:lvl>
    <w:lvl w:ilvl="4" w:tplc="04090019" w:tentative="1">
      <w:start w:val="1"/>
      <w:numFmt w:val="lowerLetter"/>
      <w:lvlText w:val="%5."/>
      <w:lvlJc w:val="left"/>
      <w:pPr>
        <w:ind w:left="3633" w:hanging="360"/>
      </w:pPr>
    </w:lvl>
    <w:lvl w:ilvl="5" w:tplc="0409001B" w:tentative="1">
      <w:start w:val="1"/>
      <w:numFmt w:val="lowerRoman"/>
      <w:lvlText w:val="%6."/>
      <w:lvlJc w:val="right"/>
      <w:pPr>
        <w:ind w:left="4353" w:hanging="180"/>
      </w:pPr>
    </w:lvl>
    <w:lvl w:ilvl="6" w:tplc="0409000F" w:tentative="1">
      <w:start w:val="1"/>
      <w:numFmt w:val="decimal"/>
      <w:lvlText w:val="%7."/>
      <w:lvlJc w:val="left"/>
      <w:pPr>
        <w:ind w:left="5073" w:hanging="360"/>
      </w:pPr>
    </w:lvl>
    <w:lvl w:ilvl="7" w:tplc="04090019" w:tentative="1">
      <w:start w:val="1"/>
      <w:numFmt w:val="lowerLetter"/>
      <w:lvlText w:val="%8."/>
      <w:lvlJc w:val="left"/>
      <w:pPr>
        <w:ind w:left="5793" w:hanging="360"/>
      </w:pPr>
    </w:lvl>
    <w:lvl w:ilvl="8" w:tplc="0409001B" w:tentative="1">
      <w:start w:val="1"/>
      <w:numFmt w:val="lowerRoman"/>
      <w:lvlText w:val="%9."/>
      <w:lvlJc w:val="right"/>
      <w:pPr>
        <w:ind w:left="6513" w:hanging="180"/>
      </w:pPr>
    </w:lvl>
  </w:abstractNum>
  <w:abstractNum w:abstractNumId="31">
    <w:nsid w:val="4772264E"/>
    <w:multiLevelType w:val="hybridMultilevel"/>
    <w:tmpl w:val="938E4ED8"/>
    <w:lvl w:ilvl="0" w:tplc="0409000F">
      <w:start w:val="1"/>
      <w:numFmt w:val="decimal"/>
      <w:lvlText w:val="%1."/>
      <w:lvlJc w:val="left"/>
      <w:pPr>
        <w:tabs>
          <w:tab w:val="num" w:pos="360"/>
        </w:tabs>
        <w:ind w:left="360" w:hanging="360"/>
      </w:pPr>
    </w:lvl>
    <w:lvl w:ilvl="1" w:tplc="E312AC40">
      <w:start w:val="1"/>
      <w:numFmt w:val="lowerLetter"/>
      <w:lvlText w:val="%2."/>
      <w:lvlJc w:val="left"/>
      <w:pPr>
        <w:tabs>
          <w:tab w:val="num" w:pos="2020"/>
        </w:tabs>
        <w:ind w:left="2020" w:hanging="94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9312C65"/>
    <w:multiLevelType w:val="hybridMultilevel"/>
    <w:tmpl w:val="563C90C0"/>
    <w:lvl w:ilvl="0" w:tplc="0409000F">
      <w:start w:val="1"/>
      <w:numFmt w:val="decimal"/>
      <w:lvlText w:val="%1."/>
      <w:lvlJc w:val="left"/>
      <w:pPr>
        <w:ind w:left="702" w:hanging="360"/>
      </w:p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33">
    <w:nsid w:val="4AF613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4CB44E57"/>
    <w:multiLevelType w:val="hybridMultilevel"/>
    <w:tmpl w:val="E4005D60"/>
    <w:lvl w:ilvl="0" w:tplc="8382A648">
      <w:start w:val="1"/>
      <w:numFmt w:val="decimal"/>
      <w:lvlText w:val="%1."/>
      <w:lvlJc w:val="left"/>
      <w:pPr>
        <w:ind w:left="830" w:hanging="360"/>
      </w:pPr>
      <w:rPr>
        <w:sz w:val="16"/>
        <w:szCs w:val="16"/>
      </w:r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35">
    <w:nsid w:val="4E5138A3"/>
    <w:multiLevelType w:val="multilevel"/>
    <w:tmpl w:val="110A1D4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53FB7CF2"/>
    <w:multiLevelType w:val="hybridMultilevel"/>
    <w:tmpl w:val="282217F2"/>
    <w:lvl w:ilvl="0" w:tplc="7F708F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6ED10A2"/>
    <w:multiLevelType w:val="hybridMultilevel"/>
    <w:tmpl w:val="81EA6C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B507975"/>
    <w:multiLevelType w:val="hybridMultilevel"/>
    <w:tmpl w:val="8A7E6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33"/>
  </w:num>
  <w:num w:numId="2">
    <w:abstractNumId w:val="38"/>
  </w:num>
  <w:num w:numId="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35"/>
  </w:num>
  <w:num w:numId="6">
    <w:abstractNumId w:val="20"/>
  </w:num>
  <w:num w:numId="7">
    <w:abstractNumId w:val="28"/>
  </w:num>
  <w:num w:numId="8">
    <w:abstractNumId w:val="36"/>
  </w:num>
  <w:num w:numId="9">
    <w:abstractNumId w:val="34"/>
  </w:num>
  <w:num w:numId="10">
    <w:abstractNumId w:val="26"/>
  </w:num>
  <w:num w:numId="11">
    <w:abstractNumId w:val="30"/>
  </w:num>
  <w:num w:numId="12">
    <w:abstractNumId w:val="39"/>
  </w:num>
  <w:num w:numId="13">
    <w:abstractNumId w:val="21"/>
  </w:num>
  <w:num w:numId="14">
    <w:abstractNumId w:val="29"/>
  </w:num>
  <w:num w:numId="15">
    <w:abstractNumId w:val="32"/>
  </w:num>
  <w:num w:numId="16">
    <w:abstractNumId w:val="37"/>
  </w:num>
  <w:num w:numId="17">
    <w:abstractNumId w:val="22"/>
  </w:num>
  <w:num w:numId="18">
    <w:abstractNumId w:val="24"/>
  </w:num>
  <w:num w:numId="19">
    <w:abstractNumId w:val="23"/>
  </w:num>
  <w:num w:numId="20">
    <w:abstractNumId w:val="19"/>
  </w:num>
  <w:num w:numId="21">
    <w:abstractNumId w:val="18"/>
  </w:num>
  <w:num w:numId="22">
    <w:abstractNumId w:val="17"/>
  </w:num>
  <w:num w:numId="23">
    <w:abstractNumId w:val="16"/>
  </w:num>
  <w:num w:numId="24">
    <w:abstractNumId w:val="15"/>
  </w:num>
  <w:num w:numId="25">
    <w:abstractNumId w:val="14"/>
  </w:num>
  <w:num w:numId="26">
    <w:abstractNumId w:val="13"/>
  </w:num>
  <w:num w:numId="27">
    <w:abstractNumId w:val="12"/>
  </w:num>
  <w:num w:numId="28">
    <w:abstractNumId w:val="11"/>
  </w:num>
  <w:num w:numId="29">
    <w:abstractNumId w:val="10"/>
  </w:num>
  <w:num w:numId="30">
    <w:abstractNumId w:val="9"/>
  </w:num>
  <w:num w:numId="31">
    <w:abstractNumId w:val="8"/>
  </w:num>
  <w:num w:numId="32">
    <w:abstractNumId w:val="7"/>
  </w:num>
  <w:num w:numId="33">
    <w:abstractNumId w:val="6"/>
  </w:num>
  <w:num w:numId="34">
    <w:abstractNumId w:val="5"/>
  </w:num>
  <w:num w:numId="35">
    <w:abstractNumId w:val="4"/>
  </w:num>
  <w:num w:numId="36">
    <w:abstractNumId w:val="3"/>
  </w:num>
  <w:num w:numId="37">
    <w:abstractNumId w:val="2"/>
  </w:num>
  <w:num w:numId="38">
    <w:abstractNumId w:val="1"/>
  </w:num>
  <w:num w:numId="39">
    <w:abstractNumId w:val="0"/>
  </w:num>
  <w:num w:numId="40">
    <w:abstractNumId w:val="31"/>
  </w:num>
  <w:num w:numId="41">
    <w:abstractNumId w:val="2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rawingGridHorizontalSpacing w:val="100"/>
  <w:displayHorizontalDrawingGridEvery w:val="0"/>
  <w:displayVerticalDrawingGridEvery w:val="0"/>
  <w:noPunctuationKerning/>
  <w:characterSpacingControl w:val="doNotCompress"/>
  <w:hdrShapeDefaults>
    <o:shapedefaults v:ext="edit" spidmax="103425" fill="f" fillcolor="white" strokecolor="none [2405]">
      <v:fill color="white" on="f"/>
      <v:stroke color="none [2405]"/>
    </o:shapedefaults>
  </w:hdrShapeDefaults>
  <w:footnotePr>
    <w:footnote w:id="-1"/>
    <w:footnote w:id="0"/>
  </w:footnotePr>
  <w:endnotePr>
    <w:endnote w:id="-1"/>
    <w:endnote w:id="0"/>
  </w:endnotePr>
  <w:compat>
    <w:compatSetting w:name="compatibilityMode" w:uri="http://schemas.microsoft.com/office/word" w:val="12"/>
  </w:compat>
  <w:rsids>
    <w:rsidRoot w:val="00193F10"/>
    <w:rsid w:val="00001C74"/>
    <w:rsid w:val="000045E2"/>
    <w:rsid w:val="00004AA3"/>
    <w:rsid w:val="00010496"/>
    <w:rsid w:val="00016E29"/>
    <w:rsid w:val="000232CC"/>
    <w:rsid w:val="00026F99"/>
    <w:rsid w:val="00034DFC"/>
    <w:rsid w:val="00036B4A"/>
    <w:rsid w:val="00037092"/>
    <w:rsid w:val="00042C8F"/>
    <w:rsid w:val="00044A82"/>
    <w:rsid w:val="00045916"/>
    <w:rsid w:val="00052E8B"/>
    <w:rsid w:val="0005331E"/>
    <w:rsid w:val="00053936"/>
    <w:rsid w:val="00055101"/>
    <w:rsid w:val="00055770"/>
    <w:rsid w:val="00066AA9"/>
    <w:rsid w:val="00071713"/>
    <w:rsid w:val="000755C0"/>
    <w:rsid w:val="00075F6B"/>
    <w:rsid w:val="00076935"/>
    <w:rsid w:val="0008350D"/>
    <w:rsid w:val="00087891"/>
    <w:rsid w:val="000A6323"/>
    <w:rsid w:val="000B2A3B"/>
    <w:rsid w:val="000B2BEE"/>
    <w:rsid w:val="000B3948"/>
    <w:rsid w:val="000B4265"/>
    <w:rsid w:val="000B4B28"/>
    <w:rsid w:val="000C1B98"/>
    <w:rsid w:val="000C2DD6"/>
    <w:rsid w:val="000C5143"/>
    <w:rsid w:val="000D058C"/>
    <w:rsid w:val="000D3157"/>
    <w:rsid w:val="000E2B8C"/>
    <w:rsid w:val="000E3763"/>
    <w:rsid w:val="000E42D3"/>
    <w:rsid w:val="000E4502"/>
    <w:rsid w:val="000F277A"/>
    <w:rsid w:val="001052D7"/>
    <w:rsid w:val="00111453"/>
    <w:rsid w:val="00111FD0"/>
    <w:rsid w:val="00113380"/>
    <w:rsid w:val="001157E9"/>
    <w:rsid w:val="00132844"/>
    <w:rsid w:val="00140CD4"/>
    <w:rsid w:val="00146085"/>
    <w:rsid w:val="00147682"/>
    <w:rsid w:val="0014784C"/>
    <w:rsid w:val="00154234"/>
    <w:rsid w:val="001577C6"/>
    <w:rsid w:val="001656A9"/>
    <w:rsid w:val="00166229"/>
    <w:rsid w:val="00171B74"/>
    <w:rsid w:val="00171D9E"/>
    <w:rsid w:val="001720F7"/>
    <w:rsid w:val="00173142"/>
    <w:rsid w:val="00173900"/>
    <w:rsid w:val="001771DC"/>
    <w:rsid w:val="00177A73"/>
    <w:rsid w:val="0018193A"/>
    <w:rsid w:val="0019324B"/>
    <w:rsid w:val="00193F10"/>
    <w:rsid w:val="00194AA6"/>
    <w:rsid w:val="00196F52"/>
    <w:rsid w:val="001A34C1"/>
    <w:rsid w:val="001C4A3E"/>
    <w:rsid w:val="001C4E37"/>
    <w:rsid w:val="001C6A96"/>
    <w:rsid w:val="001C7F5D"/>
    <w:rsid w:val="001D1649"/>
    <w:rsid w:val="001D1A92"/>
    <w:rsid w:val="001D487F"/>
    <w:rsid w:val="001D6E6A"/>
    <w:rsid w:val="001E2CD6"/>
    <w:rsid w:val="001E58A2"/>
    <w:rsid w:val="001F2895"/>
    <w:rsid w:val="001F4BD5"/>
    <w:rsid w:val="001F63DC"/>
    <w:rsid w:val="0020024F"/>
    <w:rsid w:val="00201860"/>
    <w:rsid w:val="00203E38"/>
    <w:rsid w:val="002047C9"/>
    <w:rsid w:val="00207D3B"/>
    <w:rsid w:val="00210E12"/>
    <w:rsid w:val="00211D15"/>
    <w:rsid w:val="002154F5"/>
    <w:rsid w:val="00220DF5"/>
    <w:rsid w:val="00222513"/>
    <w:rsid w:val="002225D5"/>
    <w:rsid w:val="002225DD"/>
    <w:rsid w:val="00225051"/>
    <w:rsid w:val="00233B9C"/>
    <w:rsid w:val="00235DC8"/>
    <w:rsid w:val="00246105"/>
    <w:rsid w:val="0025034A"/>
    <w:rsid w:val="002621D6"/>
    <w:rsid w:val="002660B4"/>
    <w:rsid w:val="00270C1B"/>
    <w:rsid w:val="00271AF2"/>
    <w:rsid w:val="00273609"/>
    <w:rsid w:val="002819C4"/>
    <w:rsid w:val="00281C3B"/>
    <w:rsid w:val="00283C81"/>
    <w:rsid w:val="00295362"/>
    <w:rsid w:val="00297106"/>
    <w:rsid w:val="002A28C2"/>
    <w:rsid w:val="002A38DD"/>
    <w:rsid w:val="002A3A8A"/>
    <w:rsid w:val="002A4069"/>
    <w:rsid w:val="002B0097"/>
    <w:rsid w:val="002B38F1"/>
    <w:rsid w:val="002B7AAD"/>
    <w:rsid w:val="002C2C26"/>
    <w:rsid w:val="002C3B01"/>
    <w:rsid w:val="002C41A6"/>
    <w:rsid w:val="002C4FBB"/>
    <w:rsid w:val="002D3F5E"/>
    <w:rsid w:val="002F0231"/>
    <w:rsid w:val="002F0E6E"/>
    <w:rsid w:val="002F25D5"/>
    <w:rsid w:val="002F6626"/>
    <w:rsid w:val="00301798"/>
    <w:rsid w:val="00302267"/>
    <w:rsid w:val="003062DC"/>
    <w:rsid w:val="003130C2"/>
    <w:rsid w:val="003167D3"/>
    <w:rsid w:val="00324BF4"/>
    <w:rsid w:val="00326613"/>
    <w:rsid w:val="00327720"/>
    <w:rsid w:val="0033363A"/>
    <w:rsid w:val="003440FC"/>
    <w:rsid w:val="00346552"/>
    <w:rsid w:val="0034713C"/>
    <w:rsid w:val="003548E9"/>
    <w:rsid w:val="0036028D"/>
    <w:rsid w:val="00362B27"/>
    <w:rsid w:val="00362F79"/>
    <w:rsid w:val="00365A14"/>
    <w:rsid w:val="00365D96"/>
    <w:rsid w:val="00372AAE"/>
    <w:rsid w:val="00380953"/>
    <w:rsid w:val="00384481"/>
    <w:rsid w:val="003858DE"/>
    <w:rsid w:val="00386DA7"/>
    <w:rsid w:val="00386F90"/>
    <w:rsid w:val="003903AD"/>
    <w:rsid w:val="003919BB"/>
    <w:rsid w:val="0039482F"/>
    <w:rsid w:val="00397A7D"/>
    <w:rsid w:val="003A101B"/>
    <w:rsid w:val="003A13F3"/>
    <w:rsid w:val="003A3769"/>
    <w:rsid w:val="003A3B2C"/>
    <w:rsid w:val="003A3C29"/>
    <w:rsid w:val="003B1E0A"/>
    <w:rsid w:val="003B552B"/>
    <w:rsid w:val="003B5A37"/>
    <w:rsid w:val="003B61DD"/>
    <w:rsid w:val="003C2C91"/>
    <w:rsid w:val="003C2DCB"/>
    <w:rsid w:val="003C2E6A"/>
    <w:rsid w:val="003C6CA2"/>
    <w:rsid w:val="003D7D13"/>
    <w:rsid w:val="003E683A"/>
    <w:rsid w:val="003F1AFB"/>
    <w:rsid w:val="003F6D3A"/>
    <w:rsid w:val="004004CD"/>
    <w:rsid w:val="00400946"/>
    <w:rsid w:val="0040283C"/>
    <w:rsid w:val="00403134"/>
    <w:rsid w:val="00404E59"/>
    <w:rsid w:val="00412CE4"/>
    <w:rsid w:val="0041605E"/>
    <w:rsid w:val="0041719B"/>
    <w:rsid w:val="00423D4D"/>
    <w:rsid w:val="00426997"/>
    <w:rsid w:val="0043123B"/>
    <w:rsid w:val="004414F2"/>
    <w:rsid w:val="00443580"/>
    <w:rsid w:val="00446333"/>
    <w:rsid w:val="00446FE7"/>
    <w:rsid w:val="00450B4B"/>
    <w:rsid w:val="00451EDC"/>
    <w:rsid w:val="0045360C"/>
    <w:rsid w:val="00457A5C"/>
    <w:rsid w:val="00470B2E"/>
    <w:rsid w:val="00473DE4"/>
    <w:rsid w:val="00484C33"/>
    <w:rsid w:val="0048576A"/>
    <w:rsid w:val="00486B6A"/>
    <w:rsid w:val="00486BE3"/>
    <w:rsid w:val="004875F8"/>
    <w:rsid w:val="0049300B"/>
    <w:rsid w:val="00493B64"/>
    <w:rsid w:val="00494280"/>
    <w:rsid w:val="004A024C"/>
    <w:rsid w:val="004B48DC"/>
    <w:rsid w:val="004B5185"/>
    <w:rsid w:val="004B6E4E"/>
    <w:rsid w:val="004C0984"/>
    <w:rsid w:val="004C5099"/>
    <w:rsid w:val="004C52A6"/>
    <w:rsid w:val="004C5C55"/>
    <w:rsid w:val="004D0E51"/>
    <w:rsid w:val="004D1D9F"/>
    <w:rsid w:val="004D51B1"/>
    <w:rsid w:val="004D56F9"/>
    <w:rsid w:val="004D779C"/>
    <w:rsid w:val="004E0179"/>
    <w:rsid w:val="004E0464"/>
    <w:rsid w:val="004E0689"/>
    <w:rsid w:val="004E1281"/>
    <w:rsid w:val="004E13C1"/>
    <w:rsid w:val="004E1FF7"/>
    <w:rsid w:val="004E3CB0"/>
    <w:rsid w:val="004E4029"/>
    <w:rsid w:val="004E48C8"/>
    <w:rsid w:val="004E5EB7"/>
    <w:rsid w:val="004F26A9"/>
    <w:rsid w:val="00501F08"/>
    <w:rsid w:val="005102A5"/>
    <w:rsid w:val="00511B9D"/>
    <w:rsid w:val="005142D9"/>
    <w:rsid w:val="00515AEA"/>
    <w:rsid w:val="005200AF"/>
    <w:rsid w:val="00522578"/>
    <w:rsid w:val="00523609"/>
    <w:rsid w:val="0052503D"/>
    <w:rsid w:val="00526CCE"/>
    <w:rsid w:val="0052740B"/>
    <w:rsid w:val="00535614"/>
    <w:rsid w:val="00537388"/>
    <w:rsid w:val="005413BE"/>
    <w:rsid w:val="00541D08"/>
    <w:rsid w:val="00542339"/>
    <w:rsid w:val="00542878"/>
    <w:rsid w:val="00556849"/>
    <w:rsid w:val="00557081"/>
    <w:rsid w:val="00564BAC"/>
    <w:rsid w:val="00573D01"/>
    <w:rsid w:val="0057638D"/>
    <w:rsid w:val="00580514"/>
    <w:rsid w:val="00590394"/>
    <w:rsid w:val="005926CB"/>
    <w:rsid w:val="005931F6"/>
    <w:rsid w:val="005A10C0"/>
    <w:rsid w:val="005A1E27"/>
    <w:rsid w:val="005A7A4C"/>
    <w:rsid w:val="005B43E2"/>
    <w:rsid w:val="005C0410"/>
    <w:rsid w:val="005C4CE1"/>
    <w:rsid w:val="005C57DE"/>
    <w:rsid w:val="005C6DCB"/>
    <w:rsid w:val="005C7801"/>
    <w:rsid w:val="005D0ADF"/>
    <w:rsid w:val="005D3BEF"/>
    <w:rsid w:val="005D78E6"/>
    <w:rsid w:val="005E2993"/>
    <w:rsid w:val="005E36E4"/>
    <w:rsid w:val="005E3CDC"/>
    <w:rsid w:val="005E602F"/>
    <w:rsid w:val="005F3694"/>
    <w:rsid w:val="00600E33"/>
    <w:rsid w:val="006036AA"/>
    <w:rsid w:val="006039AA"/>
    <w:rsid w:val="0061056C"/>
    <w:rsid w:val="006108F6"/>
    <w:rsid w:val="0061096A"/>
    <w:rsid w:val="006142A1"/>
    <w:rsid w:val="00617209"/>
    <w:rsid w:val="00617D4C"/>
    <w:rsid w:val="00623C18"/>
    <w:rsid w:val="006256EA"/>
    <w:rsid w:val="006277AD"/>
    <w:rsid w:val="00634733"/>
    <w:rsid w:val="00647A15"/>
    <w:rsid w:val="0065214A"/>
    <w:rsid w:val="00653194"/>
    <w:rsid w:val="0065419B"/>
    <w:rsid w:val="00654816"/>
    <w:rsid w:val="00657BFC"/>
    <w:rsid w:val="0066232A"/>
    <w:rsid w:val="006720F7"/>
    <w:rsid w:val="00674B76"/>
    <w:rsid w:val="00675B10"/>
    <w:rsid w:val="00680160"/>
    <w:rsid w:val="00681312"/>
    <w:rsid w:val="00684184"/>
    <w:rsid w:val="00686486"/>
    <w:rsid w:val="00696667"/>
    <w:rsid w:val="00696E41"/>
    <w:rsid w:val="006A0424"/>
    <w:rsid w:val="006A3660"/>
    <w:rsid w:val="006B6EFE"/>
    <w:rsid w:val="006C029A"/>
    <w:rsid w:val="006C0C5B"/>
    <w:rsid w:val="006C5DA5"/>
    <w:rsid w:val="006C6CEF"/>
    <w:rsid w:val="006C7197"/>
    <w:rsid w:val="006D401E"/>
    <w:rsid w:val="006D56C7"/>
    <w:rsid w:val="0070009C"/>
    <w:rsid w:val="00701439"/>
    <w:rsid w:val="00701FEF"/>
    <w:rsid w:val="007126AF"/>
    <w:rsid w:val="00712DD7"/>
    <w:rsid w:val="00715482"/>
    <w:rsid w:val="00720EDA"/>
    <w:rsid w:val="007254B4"/>
    <w:rsid w:val="0072691F"/>
    <w:rsid w:val="00727609"/>
    <w:rsid w:val="0073305D"/>
    <w:rsid w:val="00734763"/>
    <w:rsid w:val="0073561F"/>
    <w:rsid w:val="00741F1A"/>
    <w:rsid w:val="007420B0"/>
    <w:rsid w:val="00744C9B"/>
    <w:rsid w:val="00746B51"/>
    <w:rsid w:val="00746DB7"/>
    <w:rsid w:val="00751DD7"/>
    <w:rsid w:val="00753268"/>
    <w:rsid w:val="00753BCE"/>
    <w:rsid w:val="00753EEA"/>
    <w:rsid w:val="007563BD"/>
    <w:rsid w:val="00762E18"/>
    <w:rsid w:val="0077229F"/>
    <w:rsid w:val="007747AA"/>
    <w:rsid w:val="00780B3E"/>
    <w:rsid w:val="00782ABD"/>
    <w:rsid w:val="00782E38"/>
    <w:rsid w:val="00786837"/>
    <w:rsid w:val="007877FA"/>
    <w:rsid w:val="0079077B"/>
    <w:rsid w:val="00792442"/>
    <w:rsid w:val="007A43ED"/>
    <w:rsid w:val="007B0E3C"/>
    <w:rsid w:val="007B3B3D"/>
    <w:rsid w:val="007B54FC"/>
    <w:rsid w:val="007B5B75"/>
    <w:rsid w:val="007C10F8"/>
    <w:rsid w:val="007C2E55"/>
    <w:rsid w:val="007C43F8"/>
    <w:rsid w:val="007C4F74"/>
    <w:rsid w:val="007C51C2"/>
    <w:rsid w:val="007D5BDD"/>
    <w:rsid w:val="007D622B"/>
    <w:rsid w:val="007E5CA3"/>
    <w:rsid w:val="007F380D"/>
    <w:rsid w:val="007F47DF"/>
    <w:rsid w:val="007F7B7E"/>
    <w:rsid w:val="00802A4C"/>
    <w:rsid w:val="00804902"/>
    <w:rsid w:val="00804A4F"/>
    <w:rsid w:val="008061CE"/>
    <w:rsid w:val="00806BC6"/>
    <w:rsid w:val="00815135"/>
    <w:rsid w:val="0081695E"/>
    <w:rsid w:val="008257EF"/>
    <w:rsid w:val="0082720A"/>
    <w:rsid w:val="0083046D"/>
    <w:rsid w:val="00835018"/>
    <w:rsid w:val="00843F0D"/>
    <w:rsid w:val="0084458D"/>
    <w:rsid w:val="00845C9D"/>
    <w:rsid w:val="008472DA"/>
    <w:rsid w:val="00851666"/>
    <w:rsid w:val="00851FB4"/>
    <w:rsid w:val="008534B1"/>
    <w:rsid w:val="00854BBF"/>
    <w:rsid w:val="0085665A"/>
    <w:rsid w:val="008603FF"/>
    <w:rsid w:val="008673D3"/>
    <w:rsid w:val="008760B9"/>
    <w:rsid w:val="00880CC9"/>
    <w:rsid w:val="0089010F"/>
    <w:rsid w:val="00892E8B"/>
    <w:rsid w:val="008933E3"/>
    <w:rsid w:val="008955BA"/>
    <w:rsid w:val="008A0E43"/>
    <w:rsid w:val="008A2A74"/>
    <w:rsid w:val="008A3B30"/>
    <w:rsid w:val="008A7D0A"/>
    <w:rsid w:val="008B2546"/>
    <w:rsid w:val="008B2909"/>
    <w:rsid w:val="008B4D21"/>
    <w:rsid w:val="008B5EE9"/>
    <w:rsid w:val="008B703A"/>
    <w:rsid w:val="008C0F0C"/>
    <w:rsid w:val="008C0FBF"/>
    <w:rsid w:val="008D06B8"/>
    <w:rsid w:val="008D1F2B"/>
    <w:rsid w:val="008D56FB"/>
    <w:rsid w:val="008E1EA9"/>
    <w:rsid w:val="008E5837"/>
    <w:rsid w:val="008E6E62"/>
    <w:rsid w:val="008F1D82"/>
    <w:rsid w:val="00900370"/>
    <w:rsid w:val="00900A4D"/>
    <w:rsid w:val="0091054E"/>
    <w:rsid w:val="0091093B"/>
    <w:rsid w:val="00915F63"/>
    <w:rsid w:val="00917C29"/>
    <w:rsid w:val="00917C50"/>
    <w:rsid w:val="009243FE"/>
    <w:rsid w:val="0093238E"/>
    <w:rsid w:val="0093359B"/>
    <w:rsid w:val="00941F64"/>
    <w:rsid w:val="00952563"/>
    <w:rsid w:val="00955781"/>
    <w:rsid w:val="00955EE7"/>
    <w:rsid w:val="00970559"/>
    <w:rsid w:val="0097487F"/>
    <w:rsid w:val="00975354"/>
    <w:rsid w:val="00975E28"/>
    <w:rsid w:val="00977029"/>
    <w:rsid w:val="009811AD"/>
    <w:rsid w:val="0098252B"/>
    <w:rsid w:val="009826BE"/>
    <w:rsid w:val="00985A68"/>
    <w:rsid w:val="00986774"/>
    <w:rsid w:val="0098733E"/>
    <w:rsid w:val="00993E28"/>
    <w:rsid w:val="00995C69"/>
    <w:rsid w:val="00996441"/>
    <w:rsid w:val="009A1794"/>
    <w:rsid w:val="009A1DD0"/>
    <w:rsid w:val="009A3A76"/>
    <w:rsid w:val="009A4750"/>
    <w:rsid w:val="009B14D0"/>
    <w:rsid w:val="009B1E5B"/>
    <w:rsid w:val="009B32D2"/>
    <w:rsid w:val="009B49F2"/>
    <w:rsid w:val="009B5BE7"/>
    <w:rsid w:val="009B7591"/>
    <w:rsid w:val="009B7A3A"/>
    <w:rsid w:val="009C291E"/>
    <w:rsid w:val="009E6142"/>
    <w:rsid w:val="009F3E30"/>
    <w:rsid w:val="00A03219"/>
    <w:rsid w:val="00A03595"/>
    <w:rsid w:val="00A04062"/>
    <w:rsid w:val="00A0491D"/>
    <w:rsid w:val="00A06E82"/>
    <w:rsid w:val="00A15489"/>
    <w:rsid w:val="00A209D4"/>
    <w:rsid w:val="00A21BAB"/>
    <w:rsid w:val="00A23DA9"/>
    <w:rsid w:val="00A2485A"/>
    <w:rsid w:val="00A26B2D"/>
    <w:rsid w:val="00A327E5"/>
    <w:rsid w:val="00A33EE1"/>
    <w:rsid w:val="00A35721"/>
    <w:rsid w:val="00A42C69"/>
    <w:rsid w:val="00A538F6"/>
    <w:rsid w:val="00A54906"/>
    <w:rsid w:val="00A5547F"/>
    <w:rsid w:val="00A62AB6"/>
    <w:rsid w:val="00A673C8"/>
    <w:rsid w:val="00A803EB"/>
    <w:rsid w:val="00A80DC2"/>
    <w:rsid w:val="00A834F3"/>
    <w:rsid w:val="00A9379E"/>
    <w:rsid w:val="00A938D5"/>
    <w:rsid w:val="00A93C10"/>
    <w:rsid w:val="00A948F3"/>
    <w:rsid w:val="00AA07BF"/>
    <w:rsid w:val="00AA17EF"/>
    <w:rsid w:val="00AA41C4"/>
    <w:rsid w:val="00AB199C"/>
    <w:rsid w:val="00AB1B38"/>
    <w:rsid w:val="00AB33E0"/>
    <w:rsid w:val="00AB7DF3"/>
    <w:rsid w:val="00AC0AAF"/>
    <w:rsid w:val="00AC1255"/>
    <w:rsid w:val="00AC4319"/>
    <w:rsid w:val="00AC4CE7"/>
    <w:rsid w:val="00AC5B0F"/>
    <w:rsid w:val="00AD1615"/>
    <w:rsid w:val="00AD596D"/>
    <w:rsid w:val="00AD6F32"/>
    <w:rsid w:val="00AD79B7"/>
    <w:rsid w:val="00AE462F"/>
    <w:rsid w:val="00AF22BD"/>
    <w:rsid w:val="00AF4078"/>
    <w:rsid w:val="00AF5F46"/>
    <w:rsid w:val="00AF6114"/>
    <w:rsid w:val="00AF6DB4"/>
    <w:rsid w:val="00B01D31"/>
    <w:rsid w:val="00B02223"/>
    <w:rsid w:val="00B0442B"/>
    <w:rsid w:val="00B103DE"/>
    <w:rsid w:val="00B15411"/>
    <w:rsid w:val="00B20D60"/>
    <w:rsid w:val="00B25871"/>
    <w:rsid w:val="00B2666C"/>
    <w:rsid w:val="00B31584"/>
    <w:rsid w:val="00B376EF"/>
    <w:rsid w:val="00B37A41"/>
    <w:rsid w:val="00B435D7"/>
    <w:rsid w:val="00B45EF5"/>
    <w:rsid w:val="00B52730"/>
    <w:rsid w:val="00B60DC2"/>
    <w:rsid w:val="00B63150"/>
    <w:rsid w:val="00B63D8F"/>
    <w:rsid w:val="00B6752D"/>
    <w:rsid w:val="00B73A06"/>
    <w:rsid w:val="00B7612C"/>
    <w:rsid w:val="00B7787C"/>
    <w:rsid w:val="00B81A59"/>
    <w:rsid w:val="00B8452E"/>
    <w:rsid w:val="00B86783"/>
    <w:rsid w:val="00B87DDD"/>
    <w:rsid w:val="00B93E47"/>
    <w:rsid w:val="00B94F43"/>
    <w:rsid w:val="00BA5A58"/>
    <w:rsid w:val="00BB1087"/>
    <w:rsid w:val="00BB2C0A"/>
    <w:rsid w:val="00BB442C"/>
    <w:rsid w:val="00BB4DC6"/>
    <w:rsid w:val="00BC03C6"/>
    <w:rsid w:val="00BC5729"/>
    <w:rsid w:val="00BD00C9"/>
    <w:rsid w:val="00BD0FC0"/>
    <w:rsid w:val="00BD2494"/>
    <w:rsid w:val="00BD31C8"/>
    <w:rsid w:val="00BD3F26"/>
    <w:rsid w:val="00BD51B1"/>
    <w:rsid w:val="00BD5BC2"/>
    <w:rsid w:val="00BD643C"/>
    <w:rsid w:val="00BE0F0E"/>
    <w:rsid w:val="00BF4B11"/>
    <w:rsid w:val="00BF4C3B"/>
    <w:rsid w:val="00BF5910"/>
    <w:rsid w:val="00C01965"/>
    <w:rsid w:val="00C01F1D"/>
    <w:rsid w:val="00C02BEB"/>
    <w:rsid w:val="00C04F71"/>
    <w:rsid w:val="00C05F77"/>
    <w:rsid w:val="00C06C6D"/>
    <w:rsid w:val="00C076EB"/>
    <w:rsid w:val="00C11DFF"/>
    <w:rsid w:val="00C206B2"/>
    <w:rsid w:val="00C20A02"/>
    <w:rsid w:val="00C24C26"/>
    <w:rsid w:val="00C27013"/>
    <w:rsid w:val="00C326E5"/>
    <w:rsid w:val="00C3441E"/>
    <w:rsid w:val="00C361F5"/>
    <w:rsid w:val="00C40B67"/>
    <w:rsid w:val="00C40D08"/>
    <w:rsid w:val="00C411E6"/>
    <w:rsid w:val="00C477F4"/>
    <w:rsid w:val="00C47F0A"/>
    <w:rsid w:val="00C502D1"/>
    <w:rsid w:val="00C562DC"/>
    <w:rsid w:val="00C5765E"/>
    <w:rsid w:val="00C60492"/>
    <w:rsid w:val="00C637ED"/>
    <w:rsid w:val="00C66E7D"/>
    <w:rsid w:val="00C72C28"/>
    <w:rsid w:val="00C7510F"/>
    <w:rsid w:val="00C81CC9"/>
    <w:rsid w:val="00C846F5"/>
    <w:rsid w:val="00C85442"/>
    <w:rsid w:val="00C906A1"/>
    <w:rsid w:val="00C921A6"/>
    <w:rsid w:val="00C958CC"/>
    <w:rsid w:val="00CA2275"/>
    <w:rsid w:val="00CA3D0F"/>
    <w:rsid w:val="00CA3D68"/>
    <w:rsid w:val="00CB506B"/>
    <w:rsid w:val="00CC0461"/>
    <w:rsid w:val="00CC76F4"/>
    <w:rsid w:val="00CE0717"/>
    <w:rsid w:val="00CE419D"/>
    <w:rsid w:val="00D017E0"/>
    <w:rsid w:val="00D02A6C"/>
    <w:rsid w:val="00D04162"/>
    <w:rsid w:val="00D0590E"/>
    <w:rsid w:val="00D076E2"/>
    <w:rsid w:val="00D07B72"/>
    <w:rsid w:val="00D12056"/>
    <w:rsid w:val="00D16370"/>
    <w:rsid w:val="00D1773B"/>
    <w:rsid w:val="00D2200B"/>
    <w:rsid w:val="00D24F36"/>
    <w:rsid w:val="00D262B1"/>
    <w:rsid w:val="00D30F55"/>
    <w:rsid w:val="00D31CE9"/>
    <w:rsid w:val="00D42AE7"/>
    <w:rsid w:val="00D4398E"/>
    <w:rsid w:val="00D458ED"/>
    <w:rsid w:val="00D45EA7"/>
    <w:rsid w:val="00D51D78"/>
    <w:rsid w:val="00D5562A"/>
    <w:rsid w:val="00D63BE2"/>
    <w:rsid w:val="00D727AB"/>
    <w:rsid w:val="00D86628"/>
    <w:rsid w:val="00D92CF6"/>
    <w:rsid w:val="00D93EAF"/>
    <w:rsid w:val="00D94B78"/>
    <w:rsid w:val="00DA15D2"/>
    <w:rsid w:val="00DA4D8D"/>
    <w:rsid w:val="00DA62D6"/>
    <w:rsid w:val="00DB4E11"/>
    <w:rsid w:val="00DC0E63"/>
    <w:rsid w:val="00DC2C8A"/>
    <w:rsid w:val="00DC3216"/>
    <w:rsid w:val="00DC3616"/>
    <w:rsid w:val="00DC77F5"/>
    <w:rsid w:val="00DC7F6A"/>
    <w:rsid w:val="00DD2598"/>
    <w:rsid w:val="00DD32C2"/>
    <w:rsid w:val="00DD454C"/>
    <w:rsid w:val="00DD6053"/>
    <w:rsid w:val="00DD7D4B"/>
    <w:rsid w:val="00DE5DA9"/>
    <w:rsid w:val="00E13B57"/>
    <w:rsid w:val="00E16D2F"/>
    <w:rsid w:val="00E232B3"/>
    <w:rsid w:val="00E24DB1"/>
    <w:rsid w:val="00E331EE"/>
    <w:rsid w:val="00E42819"/>
    <w:rsid w:val="00E44174"/>
    <w:rsid w:val="00E4556A"/>
    <w:rsid w:val="00E50051"/>
    <w:rsid w:val="00E53927"/>
    <w:rsid w:val="00E607EE"/>
    <w:rsid w:val="00E70E31"/>
    <w:rsid w:val="00E75BA9"/>
    <w:rsid w:val="00E75F3D"/>
    <w:rsid w:val="00E84B3B"/>
    <w:rsid w:val="00E84F59"/>
    <w:rsid w:val="00E95FE8"/>
    <w:rsid w:val="00EA4ECB"/>
    <w:rsid w:val="00EA5B65"/>
    <w:rsid w:val="00EB0A11"/>
    <w:rsid w:val="00EB12E3"/>
    <w:rsid w:val="00EB45A6"/>
    <w:rsid w:val="00EB526D"/>
    <w:rsid w:val="00EB58AA"/>
    <w:rsid w:val="00EC2FEA"/>
    <w:rsid w:val="00EC344E"/>
    <w:rsid w:val="00EC52B5"/>
    <w:rsid w:val="00ED1674"/>
    <w:rsid w:val="00ED4891"/>
    <w:rsid w:val="00ED4DEC"/>
    <w:rsid w:val="00ED728A"/>
    <w:rsid w:val="00EE0335"/>
    <w:rsid w:val="00EE05CB"/>
    <w:rsid w:val="00EE0968"/>
    <w:rsid w:val="00EE5450"/>
    <w:rsid w:val="00EE6112"/>
    <w:rsid w:val="00EF3A2D"/>
    <w:rsid w:val="00F0372F"/>
    <w:rsid w:val="00F07286"/>
    <w:rsid w:val="00F07558"/>
    <w:rsid w:val="00F079B9"/>
    <w:rsid w:val="00F107C0"/>
    <w:rsid w:val="00F122DC"/>
    <w:rsid w:val="00F15B79"/>
    <w:rsid w:val="00F15FBA"/>
    <w:rsid w:val="00F25E46"/>
    <w:rsid w:val="00F26656"/>
    <w:rsid w:val="00F3241A"/>
    <w:rsid w:val="00F360E5"/>
    <w:rsid w:val="00F367F7"/>
    <w:rsid w:val="00F3707C"/>
    <w:rsid w:val="00F37B77"/>
    <w:rsid w:val="00F411C1"/>
    <w:rsid w:val="00F52C7E"/>
    <w:rsid w:val="00F53C31"/>
    <w:rsid w:val="00F64623"/>
    <w:rsid w:val="00F71458"/>
    <w:rsid w:val="00F7168D"/>
    <w:rsid w:val="00F75079"/>
    <w:rsid w:val="00F77AD5"/>
    <w:rsid w:val="00F77C4B"/>
    <w:rsid w:val="00F77D22"/>
    <w:rsid w:val="00F77D62"/>
    <w:rsid w:val="00F8163A"/>
    <w:rsid w:val="00F82E13"/>
    <w:rsid w:val="00F845CD"/>
    <w:rsid w:val="00F84682"/>
    <w:rsid w:val="00F867DC"/>
    <w:rsid w:val="00FA269E"/>
    <w:rsid w:val="00FA3CE2"/>
    <w:rsid w:val="00FB1537"/>
    <w:rsid w:val="00FB34F8"/>
    <w:rsid w:val="00FB5D5F"/>
    <w:rsid w:val="00FD25A6"/>
    <w:rsid w:val="00FD3EFE"/>
    <w:rsid w:val="00FD5F07"/>
    <w:rsid w:val="00FE4AFC"/>
    <w:rsid w:val="00FE78AA"/>
    <w:rsid w:val="00FF36B4"/>
    <w:rsid w:val="00FF7710"/>
    <w:rsid w:val="00FF77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25" fill="f" fillcolor="white" strokecolor="none [2405]">
      <v:fill color="white" on="f"/>
      <v:stroke color="none [2405]"/>
    </o:shapedefaults>
    <o:shapelayout v:ext="edit">
      <o:idmap v:ext="edit" data="1"/>
      <o:rules v:ext="edit">
        <o:r id="V:Rule5" type="connector" idref="#_x0000_s1069"/>
        <o:r id="V:Rule6" type="connector" idref="#_x0000_s1073"/>
        <o:r id="V:Rule7" type="connector" idref="#_x0000_s1068"/>
        <o:r id="V:Rule8" type="connector" idref="#_x0000_s1072"/>
      </o:rules>
      <o:regrouptable v:ext="edit">
        <o:entry new="1" old="0"/>
        <o:entry new="2" old="1"/>
        <o:entry new="3" old="0"/>
        <o:entry new="4" old="0"/>
      </o:regrouptable>
    </o:shapelayout>
  </w:shapeDefaults>
  <w:decimalSymbol w:val="."/>
  <w:listSeparator w:val=","/>
  <w15:docId w15:val="{B64CABBB-AFC9-415C-BEB7-43F7C7461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26D"/>
  </w:style>
  <w:style w:type="paragraph" w:styleId="Heading1">
    <w:name w:val="heading 1"/>
    <w:basedOn w:val="Normal"/>
    <w:next w:val="Normal"/>
    <w:qFormat/>
    <w:rsid w:val="00EB526D"/>
    <w:pPr>
      <w:keepNext/>
      <w:spacing w:after="120"/>
      <w:ind w:left="634"/>
      <w:outlineLvl w:val="0"/>
    </w:pPr>
    <w:rPr>
      <w:sz w:val="28"/>
    </w:rPr>
  </w:style>
  <w:style w:type="paragraph" w:styleId="Heading2">
    <w:name w:val="heading 2"/>
    <w:basedOn w:val="Normal"/>
    <w:next w:val="Normal"/>
    <w:qFormat/>
    <w:rsid w:val="00EB526D"/>
    <w:pPr>
      <w:keepNext/>
      <w:ind w:left="630"/>
      <w:outlineLvl w:val="1"/>
    </w:pPr>
    <w:rPr>
      <w:i/>
      <w:sz w:val="23"/>
    </w:rPr>
  </w:style>
  <w:style w:type="paragraph" w:styleId="Heading3">
    <w:name w:val="heading 3"/>
    <w:basedOn w:val="Normal"/>
    <w:next w:val="Normal"/>
    <w:qFormat/>
    <w:rsid w:val="00EB526D"/>
    <w:pPr>
      <w:keepNext/>
      <w:jc w:val="center"/>
      <w:outlineLvl w:val="2"/>
    </w:pPr>
    <w:rPr>
      <w:sz w:val="28"/>
    </w:rPr>
  </w:style>
  <w:style w:type="paragraph" w:styleId="Heading4">
    <w:name w:val="heading 4"/>
    <w:basedOn w:val="Normal"/>
    <w:next w:val="Normal"/>
    <w:qFormat/>
    <w:rsid w:val="00EB526D"/>
    <w:pPr>
      <w:keepNext/>
      <w:jc w:val="center"/>
      <w:outlineLvl w:val="3"/>
    </w:pPr>
    <w:rPr>
      <w:b/>
      <w:sz w:val="22"/>
    </w:rPr>
  </w:style>
  <w:style w:type="paragraph" w:styleId="Heading5">
    <w:name w:val="heading 5"/>
    <w:basedOn w:val="Normal"/>
    <w:next w:val="Normal"/>
    <w:qFormat/>
    <w:rsid w:val="00EB526D"/>
    <w:pPr>
      <w:keepNext/>
      <w:spacing w:after="120"/>
      <w:ind w:left="720"/>
      <w:outlineLvl w:val="4"/>
    </w:pPr>
    <w:rPr>
      <w:b/>
      <w:sz w:val="22"/>
    </w:rPr>
  </w:style>
  <w:style w:type="paragraph" w:styleId="Heading6">
    <w:name w:val="heading 6"/>
    <w:basedOn w:val="Normal"/>
    <w:next w:val="Normal"/>
    <w:qFormat/>
    <w:rsid w:val="00EB526D"/>
    <w:pPr>
      <w:keepNext/>
      <w:jc w:val="center"/>
      <w:outlineLvl w:val="5"/>
    </w:pPr>
    <w:rPr>
      <w:b/>
      <w:sz w:val="24"/>
    </w:rPr>
  </w:style>
  <w:style w:type="paragraph" w:styleId="Heading7">
    <w:name w:val="heading 7"/>
    <w:basedOn w:val="Normal"/>
    <w:next w:val="Normal"/>
    <w:qFormat/>
    <w:rsid w:val="00EB526D"/>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EB526D"/>
    <w:pPr>
      <w:keepNext/>
      <w:spacing w:after="120"/>
      <w:outlineLvl w:val="7"/>
    </w:pPr>
    <w:rPr>
      <w:b/>
      <w:caps/>
      <w:sz w:val="22"/>
    </w:rPr>
  </w:style>
  <w:style w:type="paragraph" w:styleId="Heading9">
    <w:name w:val="heading 9"/>
    <w:basedOn w:val="Normal"/>
    <w:next w:val="Normal"/>
    <w:qFormat/>
    <w:rsid w:val="00EB526D"/>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semiHidden/>
    <w:rsid w:val="00EB526D"/>
    <w:rPr>
      <w:vertAlign w:val="superscript"/>
    </w:rPr>
  </w:style>
  <w:style w:type="paragraph" w:styleId="Header">
    <w:name w:val="header"/>
    <w:basedOn w:val="Normal"/>
    <w:link w:val="HeaderChar"/>
    <w:rsid w:val="00EB526D"/>
    <w:pPr>
      <w:tabs>
        <w:tab w:val="center" w:pos="4320"/>
        <w:tab w:val="right" w:pos="8640"/>
      </w:tabs>
    </w:pPr>
  </w:style>
  <w:style w:type="character" w:styleId="PageNumber">
    <w:name w:val="page number"/>
    <w:basedOn w:val="DefaultParagraphFont"/>
    <w:rsid w:val="00EB526D"/>
  </w:style>
  <w:style w:type="paragraph" w:styleId="Footer">
    <w:name w:val="footer"/>
    <w:basedOn w:val="Normal"/>
    <w:link w:val="FooterChar"/>
    <w:uiPriority w:val="99"/>
    <w:rsid w:val="00EB526D"/>
    <w:pPr>
      <w:tabs>
        <w:tab w:val="center" w:pos="4320"/>
        <w:tab w:val="right" w:pos="8640"/>
      </w:tabs>
    </w:pPr>
  </w:style>
  <w:style w:type="paragraph" w:styleId="BodyTextIndent">
    <w:name w:val="Body Text Indent"/>
    <w:basedOn w:val="Normal"/>
    <w:rsid w:val="00EB526D"/>
    <w:pPr>
      <w:spacing w:after="120"/>
      <w:ind w:left="634"/>
    </w:pPr>
    <w:rPr>
      <w:sz w:val="24"/>
    </w:rPr>
  </w:style>
  <w:style w:type="paragraph" w:styleId="BodyTextIndent2">
    <w:name w:val="Body Text Indent 2"/>
    <w:basedOn w:val="Normal"/>
    <w:link w:val="BodyTextIndent2Char"/>
    <w:rsid w:val="00EB526D"/>
    <w:pPr>
      <w:tabs>
        <w:tab w:val="left" w:pos="630"/>
      </w:tabs>
      <w:spacing w:after="120"/>
      <w:ind w:left="630"/>
    </w:pPr>
    <w:rPr>
      <w:sz w:val="24"/>
    </w:rPr>
  </w:style>
  <w:style w:type="paragraph" w:styleId="BodyTextIndent3">
    <w:name w:val="Body Text Indent 3"/>
    <w:basedOn w:val="Normal"/>
    <w:rsid w:val="00EB526D"/>
    <w:pPr>
      <w:spacing w:before="240" w:after="120"/>
      <w:ind w:left="634"/>
      <w:jc w:val="center"/>
    </w:pPr>
    <w:rPr>
      <w:caps/>
      <w:sz w:val="24"/>
    </w:rPr>
  </w:style>
  <w:style w:type="paragraph" w:styleId="BodyText2">
    <w:name w:val="Body Text 2"/>
    <w:basedOn w:val="Normal"/>
    <w:rsid w:val="00EB526D"/>
    <w:pPr>
      <w:numPr>
        <w:ilvl w:val="12"/>
      </w:numPr>
      <w:spacing w:after="120"/>
      <w:jc w:val="both"/>
    </w:pPr>
    <w:rPr>
      <w:sz w:val="22"/>
    </w:rPr>
  </w:style>
  <w:style w:type="paragraph" w:styleId="Title">
    <w:name w:val="Title"/>
    <w:basedOn w:val="Normal"/>
    <w:qFormat/>
    <w:rsid w:val="00EB526D"/>
    <w:pPr>
      <w:jc w:val="center"/>
    </w:pPr>
    <w:rPr>
      <w:b/>
      <w:sz w:val="24"/>
    </w:rPr>
  </w:style>
  <w:style w:type="paragraph" w:styleId="BodyText">
    <w:name w:val="Body Text"/>
    <w:aliases w:val="SCA Body Text,SCA Body Text1,SCA Body Text2,SCA Body Text11,BodyText-JEA,BT-JEA"/>
    <w:basedOn w:val="Normal"/>
    <w:link w:val="BodyTextChar"/>
    <w:rsid w:val="00EB526D"/>
    <w:pPr>
      <w:spacing w:after="120"/>
    </w:pPr>
    <w:rPr>
      <w:sz w:val="24"/>
    </w:rPr>
  </w:style>
  <w:style w:type="paragraph" w:styleId="BodyText3">
    <w:name w:val="Body Text 3"/>
    <w:basedOn w:val="Normal"/>
    <w:rsid w:val="00EB526D"/>
    <w:pPr>
      <w:spacing w:before="120" w:after="120"/>
    </w:pPr>
    <w:rPr>
      <w:sz w:val="22"/>
    </w:rPr>
  </w:style>
  <w:style w:type="paragraph" w:customStyle="1" w:styleId="Style4">
    <w:name w:val="Style4"/>
    <w:next w:val="Normal"/>
    <w:rsid w:val="00EB526D"/>
    <w:rPr>
      <w:noProof/>
      <w:sz w:val="24"/>
    </w:rPr>
  </w:style>
  <w:style w:type="paragraph" w:styleId="BlockText">
    <w:name w:val="Block Text"/>
    <w:basedOn w:val="Normal"/>
    <w:rsid w:val="00EB526D"/>
    <w:pPr>
      <w:spacing w:after="120"/>
      <w:ind w:left="720" w:right="43"/>
      <w:jc w:val="both"/>
    </w:pPr>
    <w:rPr>
      <w:sz w:val="22"/>
    </w:rPr>
  </w:style>
  <w:style w:type="character" w:styleId="Hyperlink">
    <w:name w:val="Hyperlink"/>
    <w:uiPriority w:val="99"/>
    <w:rsid w:val="00EB526D"/>
    <w:rPr>
      <w:color w:val="0000FF"/>
      <w:u w:val="single"/>
    </w:rPr>
  </w:style>
  <w:style w:type="paragraph" w:customStyle="1" w:styleId="SCATableHeading">
    <w:name w:val="SCA Table Heading"/>
    <w:basedOn w:val="Normal"/>
    <w:rsid w:val="00EB526D"/>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table" w:styleId="TableGrid">
    <w:name w:val="Table Grid"/>
    <w:basedOn w:val="TableNormal"/>
    <w:rsid w:val="00975E2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34"/>
    <w:qFormat/>
    <w:rsid w:val="00E13B57"/>
    <w:pPr>
      <w:ind w:left="720"/>
      <w:contextualSpacing/>
    </w:pPr>
  </w:style>
  <w:style w:type="character" w:customStyle="1" w:styleId="BodyTextChar">
    <w:name w:val="Body Text Char"/>
    <w:aliases w:val="SCA Body Text Char,SCA Body Text1 Char,SCA Body Text2 Char,SCA Body Text11 Char,BodyText-JEA Char,BT-JEA Char"/>
    <w:link w:val="BodyText"/>
    <w:rsid w:val="00E95FE8"/>
    <w:rPr>
      <w:sz w:val="24"/>
    </w:rPr>
  </w:style>
  <w:style w:type="paragraph" w:styleId="Caption">
    <w:name w:val="caption"/>
    <w:basedOn w:val="Normal"/>
    <w:next w:val="Normal"/>
    <w:qFormat/>
    <w:rsid w:val="0025034A"/>
    <w:pPr>
      <w:spacing w:before="360" w:after="120"/>
    </w:pPr>
    <w:rPr>
      <w:b/>
      <w:caps/>
      <w:sz w:val="22"/>
    </w:rPr>
  </w:style>
  <w:style w:type="character" w:styleId="FollowedHyperlink">
    <w:name w:val="FollowedHyperlink"/>
    <w:rsid w:val="00AC1255"/>
    <w:rPr>
      <w:color w:val="954F72"/>
      <w:u w:val="single"/>
    </w:rPr>
  </w:style>
  <w:style w:type="paragraph" w:styleId="BalloonText">
    <w:name w:val="Balloon Text"/>
    <w:basedOn w:val="Normal"/>
    <w:link w:val="BalloonTextChar"/>
    <w:rsid w:val="002A4069"/>
    <w:rPr>
      <w:rFonts w:ascii="Tahoma" w:hAnsi="Tahoma" w:cs="Tahoma"/>
      <w:sz w:val="16"/>
      <w:szCs w:val="16"/>
    </w:rPr>
  </w:style>
  <w:style w:type="character" w:customStyle="1" w:styleId="BalloonTextChar">
    <w:name w:val="Balloon Text Char"/>
    <w:basedOn w:val="DefaultParagraphFont"/>
    <w:link w:val="BalloonText"/>
    <w:rsid w:val="002A4069"/>
    <w:rPr>
      <w:rFonts w:ascii="Tahoma" w:hAnsi="Tahoma" w:cs="Tahoma"/>
      <w:sz w:val="16"/>
      <w:szCs w:val="16"/>
    </w:rPr>
  </w:style>
  <w:style w:type="character" w:customStyle="1" w:styleId="FooterChar">
    <w:name w:val="Footer Char"/>
    <w:link w:val="Footer"/>
    <w:uiPriority w:val="99"/>
    <w:rsid w:val="00D94B78"/>
  </w:style>
  <w:style w:type="paragraph" w:styleId="NormalWeb">
    <w:name w:val="Normal (Web)"/>
    <w:basedOn w:val="Normal"/>
    <w:uiPriority w:val="99"/>
    <w:unhideWhenUsed/>
    <w:rsid w:val="00052E8B"/>
    <w:pPr>
      <w:spacing w:before="100" w:beforeAutospacing="1" w:after="100" w:afterAutospacing="1"/>
    </w:pPr>
    <w:rPr>
      <w:sz w:val="24"/>
      <w:szCs w:val="24"/>
    </w:rPr>
  </w:style>
  <w:style w:type="character" w:styleId="CommentReference">
    <w:name w:val="annotation reference"/>
    <w:basedOn w:val="DefaultParagraphFont"/>
    <w:semiHidden/>
    <w:unhideWhenUsed/>
    <w:rsid w:val="00B25871"/>
    <w:rPr>
      <w:sz w:val="16"/>
      <w:szCs w:val="16"/>
    </w:rPr>
  </w:style>
  <w:style w:type="paragraph" w:styleId="CommentText">
    <w:name w:val="annotation text"/>
    <w:basedOn w:val="Normal"/>
    <w:link w:val="CommentTextChar"/>
    <w:semiHidden/>
    <w:unhideWhenUsed/>
    <w:rsid w:val="00B25871"/>
  </w:style>
  <w:style w:type="character" w:customStyle="1" w:styleId="CommentTextChar">
    <w:name w:val="Comment Text Char"/>
    <w:basedOn w:val="DefaultParagraphFont"/>
    <w:link w:val="CommentText"/>
    <w:semiHidden/>
    <w:rsid w:val="00B25871"/>
  </w:style>
  <w:style w:type="paragraph" w:styleId="CommentSubject">
    <w:name w:val="annotation subject"/>
    <w:basedOn w:val="CommentText"/>
    <w:next w:val="CommentText"/>
    <w:link w:val="CommentSubjectChar"/>
    <w:semiHidden/>
    <w:unhideWhenUsed/>
    <w:rsid w:val="00B25871"/>
    <w:rPr>
      <w:b/>
      <w:bCs/>
    </w:rPr>
  </w:style>
  <w:style w:type="character" w:customStyle="1" w:styleId="CommentSubjectChar">
    <w:name w:val="Comment Subject Char"/>
    <w:basedOn w:val="CommentTextChar"/>
    <w:link w:val="CommentSubject"/>
    <w:semiHidden/>
    <w:rsid w:val="00B25871"/>
    <w:rPr>
      <w:b/>
      <w:bCs/>
    </w:rPr>
  </w:style>
  <w:style w:type="paragraph" w:styleId="FootnoteText">
    <w:name w:val="footnote text"/>
    <w:basedOn w:val="Normal"/>
    <w:link w:val="FootnoteTextChar"/>
    <w:semiHidden/>
    <w:unhideWhenUsed/>
    <w:rsid w:val="00DA15D2"/>
  </w:style>
  <w:style w:type="character" w:customStyle="1" w:styleId="FootnoteTextChar">
    <w:name w:val="Footnote Text Char"/>
    <w:basedOn w:val="DefaultParagraphFont"/>
    <w:link w:val="FootnoteText"/>
    <w:semiHidden/>
    <w:rsid w:val="00DA15D2"/>
  </w:style>
  <w:style w:type="character" w:styleId="FootnoteReference">
    <w:name w:val="footnote reference"/>
    <w:basedOn w:val="DefaultParagraphFont"/>
    <w:semiHidden/>
    <w:unhideWhenUsed/>
    <w:rsid w:val="00DA15D2"/>
    <w:rPr>
      <w:vertAlign w:val="superscript"/>
    </w:rPr>
  </w:style>
  <w:style w:type="character" w:customStyle="1" w:styleId="HeaderChar">
    <w:name w:val="Header Char"/>
    <w:basedOn w:val="DefaultParagraphFont"/>
    <w:link w:val="Header"/>
    <w:rsid w:val="00D92CF6"/>
  </w:style>
  <w:style w:type="character" w:customStyle="1" w:styleId="BodyTextIndent2Char">
    <w:name w:val="Body Text Indent 2 Char"/>
    <w:basedOn w:val="DefaultParagraphFont"/>
    <w:link w:val="BodyTextIndent2"/>
    <w:rsid w:val="00D92CF6"/>
    <w:rPr>
      <w:sz w:val="24"/>
    </w:rPr>
  </w:style>
  <w:style w:type="character" w:styleId="Strong">
    <w:name w:val="Strong"/>
    <w:basedOn w:val="DefaultParagraphFont"/>
    <w:uiPriority w:val="22"/>
    <w:qFormat/>
    <w:rsid w:val="00042C8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564952">
      <w:bodyDiv w:val="1"/>
      <w:marLeft w:val="0"/>
      <w:marRight w:val="0"/>
      <w:marTop w:val="0"/>
      <w:marBottom w:val="0"/>
      <w:divBdr>
        <w:top w:val="none" w:sz="0" w:space="0" w:color="auto"/>
        <w:left w:val="none" w:sz="0" w:space="0" w:color="auto"/>
        <w:bottom w:val="none" w:sz="0" w:space="0" w:color="auto"/>
        <w:right w:val="none" w:sz="0" w:space="0" w:color="auto"/>
      </w:divBdr>
    </w:div>
    <w:div w:id="525096057">
      <w:bodyDiv w:val="1"/>
      <w:marLeft w:val="0"/>
      <w:marRight w:val="0"/>
      <w:marTop w:val="0"/>
      <w:marBottom w:val="0"/>
      <w:divBdr>
        <w:top w:val="none" w:sz="0" w:space="0" w:color="auto"/>
        <w:left w:val="none" w:sz="0" w:space="0" w:color="auto"/>
        <w:bottom w:val="none" w:sz="0" w:space="0" w:color="auto"/>
        <w:right w:val="none" w:sz="0" w:space="0" w:color="auto"/>
      </w:divBdr>
    </w:div>
    <w:div w:id="558980297">
      <w:bodyDiv w:val="1"/>
      <w:marLeft w:val="0"/>
      <w:marRight w:val="0"/>
      <w:marTop w:val="0"/>
      <w:marBottom w:val="0"/>
      <w:divBdr>
        <w:top w:val="none" w:sz="0" w:space="0" w:color="auto"/>
        <w:left w:val="none" w:sz="0" w:space="0" w:color="auto"/>
        <w:bottom w:val="none" w:sz="0" w:space="0" w:color="auto"/>
        <w:right w:val="none" w:sz="0" w:space="0" w:color="auto"/>
      </w:divBdr>
      <w:divsChild>
        <w:div w:id="357051356">
          <w:marLeft w:val="0"/>
          <w:marRight w:val="0"/>
          <w:marTop w:val="0"/>
          <w:marBottom w:val="0"/>
          <w:divBdr>
            <w:top w:val="none" w:sz="0" w:space="0" w:color="auto"/>
            <w:left w:val="none" w:sz="0" w:space="0" w:color="auto"/>
            <w:bottom w:val="none" w:sz="0" w:space="0" w:color="auto"/>
            <w:right w:val="none" w:sz="0" w:space="0" w:color="auto"/>
          </w:divBdr>
          <w:divsChild>
            <w:div w:id="28996726">
              <w:marLeft w:val="0"/>
              <w:marRight w:val="0"/>
              <w:marTop w:val="0"/>
              <w:marBottom w:val="0"/>
              <w:divBdr>
                <w:top w:val="none" w:sz="0" w:space="0" w:color="auto"/>
                <w:left w:val="none" w:sz="0" w:space="0" w:color="auto"/>
                <w:bottom w:val="none" w:sz="0" w:space="0" w:color="auto"/>
                <w:right w:val="none" w:sz="0" w:space="0" w:color="auto"/>
              </w:divBdr>
            </w:div>
            <w:div w:id="194113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798873">
      <w:bodyDiv w:val="1"/>
      <w:marLeft w:val="0"/>
      <w:marRight w:val="0"/>
      <w:marTop w:val="0"/>
      <w:marBottom w:val="0"/>
      <w:divBdr>
        <w:top w:val="none" w:sz="0" w:space="0" w:color="auto"/>
        <w:left w:val="none" w:sz="0" w:space="0" w:color="auto"/>
        <w:bottom w:val="none" w:sz="0" w:space="0" w:color="auto"/>
        <w:right w:val="none" w:sz="0" w:space="0" w:color="auto"/>
      </w:divBdr>
    </w:div>
    <w:div w:id="982924387">
      <w:bodyDiv w:val="1"/>
      <w:marLeft w:val="0"/>
      <w:marRight w:val="0"/>
      <w:marTop w:val="0"/>
      <w:marBottom w:val="0"/>
      <w:divBdr>
        <w:top w:val="none" w:sz="0" w:space="0" w:color="auto"/>
        <w:left w:val="none" w:sz="0" w:space="0" w:color="auto"/>
        <w:bottom w:val="none" w:sz="0" w:space="0" w:color="auto"/>
        <w:right w:val="none" w:sz="0" w:space="0" w:color="auto"/>
      </w:divBdr>
    </w:div>
    <w:div w:id="1356031303">
      <w:bodyDiv w:val="1"/>
      <w:marLeft w:val="0"/>
      <w:marRight w:val="0"/>
      <w:marTop w:val="0"/>
      <w:marBottom w:val="0"/>
      <w:divBdr>
        <w:top w:val="none" w:sz="0" w:space="0" w:color="auto"/>
        <w:left w:val="none" w:sz="0" w:space="0" w:color="auto"/>
        <w:bottom w:val="none" w:sz="0" w:space="0" w:color="auto"/>
        <w:right w:val="none" w:sz="0" w:space="0" w:color="auto"/>
      </w:divBdr>
    </w:div>
    <w:div w:id="1766727973">
      <w:bodyDiv w:val="1"/>
      <w:marLeft w:val="0"/>
      <w:marRight w:val="0"/>
      <w:marTop w:val="0"/>
      <w:marBottom w:val="0"/>
      <w:divBdr>
        <w:top w:val="none" w:sz="0" w:space="0" w:color="auto"/>
        <w:left w:val="none" w:sz="0" w:space="0" w:color="auto"/>
        <w:bottom w:val="none" w:sz="0" w:space="0" w:color="auto"/>
        <w:right w:val="none" w:sz="0" w:space="0" w:color="auto"/>
      </w:divBdr>
      <w:divsChild>
        <w:div w:id="1923874952">
          <w:marLeft w:val="0"/>
          <w:marRight w:val="0"/>
          <w:marTop w:val="0"/>
          <w:marBottom w:val="0"/>
          <w:divBdr>
            <w:top w:val="none" w:sz="0" w:space="0" w:color="auto"/>
            <w:left w:val="none" w:sz="0" w:space="0" w:color="auto"/>
            <w:bottom w:val="none" w:sz="0" w:space="0" w:color="auto"/>
            <w:right w:val="none" w:sz="0" w:space="0" w:color="auto"/>
          </w:divBdr>
          <w:divsChild>
            <w:div w:id="534734761">
              <w:marLeft w:val="0"/>
              <w:marRight w:val="0"/>
              <w:marTop w:val="0"/>
              <w:marBottom w:val="0"/>
              <w:divBdr>
                <w:top w:val="none" w:sz="0" w:space="0" w:color="auto"/>
                <w:left w:val="none" w:sz="0" w:space="0" w:color="auto"/>
                <w:bottom w:val="none" w:sz="0" w:space="0" w:color="auto"/>
                <w:right w:val="none" w:sz="0" w:space="0" w:color="auto"/>
              </w:divBdr>
              <w:divsChild>
                <w:div w:id="1713191030">
                  <w:marLeft w:val="0"/>
                  <w:marRight w:val="0"/>
                  <w:marTop w:val="0"/>
                  <w:marBottom w:val="0"/>
                  <w:divBdr>
                    <w:top w:val="none" w:sz="0" w:space="0" w:color="auto"/>
                    <w:left w:val="none" w:sz="0" w:space="0" w:color="auto"/>
                    <w:bottom w:val="none" w:sz="0" w:space="0" w:color="auto"/>
                    <w:right w:val="none" w:sz="0" w:space="0" w:color="auto"/>
                  </w:divBdr>
                  <w:divsChild>
                    <w:div w:id="799303006">
                      <w:marLeft w:val="0"/>
                      <w:marRight w:val="0"/>
                      <w:marTop w:val="0"/>
                      <w:marBottom w:val="0"/>
                      <w:divBdr>
                        <w:top w:val="none" w:sz="0" w:space="0" w:color="auto"/>
                        <w:left w:val="none" w:sz="0" w:space="0" w:color="auto"/>
                        <w:bottom w:val="none" w:sz="0" w:space="0" w:color="auto"/>
                        <w:right w:val="none" w:sz="0" w:space="0" w:color="auto"/>
                      </w:divBdr>
                      <w:divsChild>
                        <w:div w:id="1008092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2785632">
      <w:bodyDiv w:val="1"/>
      <w:marLeft w:val="0"/>
      <w:marRight w:val="0"/>
      <w:marTop w:val="0"/>
      <w:marBottom w:val="0"/>
      <w:divBdr>
        <w:top w:val="none" w:sz="0" w:space="0" w:color="auto"/>
        <w:left w:val="none" w:sz="0" w:space="0" w:color="auto"/>
        <w:bottom w:val="none" w:sz="0" w:space="0" w:color="auto"/>
        <w:right w:val="none" w:sz="0" w:space="0" w:color="auto"/>
      </w:divBdr>
      <w:divsChild>
        <w:div w:id="1566180625">
          <w:marLeft w:val="0"/>
          <w:marRight w:val="0"/>
          <w:marTop w:val="0"/>
          <w:marBottom w:val="0"/>
          <w:divBdr>
            <w:top w:val="none" w:sz="0" w:space="0" w:color="auto"/>
            <w:left w:val="none" w:sz="0" w:space="0" w:color="auto"/>
            <w:bottom w:val="none" w:sz="0" w:space="0" w:color="auto"/>
            <w:right w:val="none" w:sz="0" w:space="0" w:color="auto"/>
          </w:divBdr>
          <w:divsChild>
            <w:div w:id="1903100887">
              <w:marLeft w:val="0"/>
              <w:marRight w:val="0"/>
              <w:marTop w:val="0"/>
              <w:marBottom w:val="0"/>
              <w:divBdr>
                <w:top w:val="none" w:sz="0" w:space="0" w:color="auto"/>
                <w:left w:val="none" w:sz="0" w:space="0" w:color="auto"/>
                <w:bottom w:val="none" w:sz="0" w:space="0" w:color="auto"/>
                <w:right w:val="none" w:sz="0" w:space="0" w:color="auto"/>
              </w:divBdr>
              <w:divsChild>
                <w:div w:id="1677998717">
                  <w:marLeft w:val="0"/>
                  <w:marRight w:val="0"/>
                  <w:marTop w:val="0"/>
                  <w:marBottom w:val="0"/>
                  <w:divBdr>
                    <w:top w:val="none" w:sz="0" w:space="0" w:color="auto"/>
                    <w:left w:val="none" w:sz="0" w:space="0" w:color="auto"/>
                    <w:bottom w:val="none" w:sz="0" w:space="0" w:color="auto"/>
                    <w:right w:val="none" w:sz="0" w:space="0" w:color="auto"/>
                  </w:divBdr>
                  <w:divsChild>
                    <w:div w:id="1416706458">
                      <w:marLeft w:val="0"/>
                      <w:marRight w:val="0"/>
                      <w:marTop w:val="0"/>
                      <w:marBottom w:val="0"/>
                      <w:divBdr>
                        <w:top w:val="none" w:sz="0" w:space="0" w:color="auto"/>
                        <w:left w:val="none" w:sz="0" w:space="0" w:color="auto"/>
                        <w:bottom w:val="none" w:sz="0" w:space="0" w:color="auto"/>
                        <w:right w:val="none" w:sz="0" w:space="0" w:color="auto"/>
                      </w:divBdr>
                      <w:divsChild>
                        <w:div w:id="71015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hyperlink" Target="http://arm-permit2k.dep.state.fl.us/adh/prod/pdf_permit_zip_files/0710002.020.AC.F_pdf.zip" TargetMode="External"/><Relationship Id="rId33" Type="http://schemas.openxmlformats.org/officeDocument/2006/relationships/hyperlink" Target="http://www.ecfr.gov/cgi-bin/text-idx?SID=dacd1f7fded60b72a28943f65a6f45a2&amp;node=sp40.7.60.kkkk&amp;rgn=div6" TargetMode="Externa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png"/><Relationship Id="rId29" Type="http://schemas.openxmlformats.org/officeDocument/2006/relationships/hyperlink" Target="http://www.psc.state.fl.us/library/FILINGS/14/01462-14/01462-14.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jpeg"/><Relationship Id="rId32" Type="http://schemas.openxmlformats.org/officeDocument/2006/relationships/hyperlink" Target="http://arm-permit2k.dep.state.fl.us/adh/prod/pdf_permit_zip_files/0710002.020.AC.D_pdf.zip"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hyperlink" Target="http://arm-permit2k.dep.state.fl.us/psd/0710002/U0002262.pdf" TargetMode="External"/><Relationship Id="rId36"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hyperlink" Target="http://site.ge-energy.com/corporate/network/downloads/7FA_Evolution.pdf" TargetMode="Externa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arm-permit2k.dep.state.fl.us/adh/prod/pdf_permit_zip_files/0710002.018.AV.F_pdf.zip" TargetMode="External"/><Relationship Id="rId22" Type="http://schemas.openxmlformats.org/officeDocument/2006/relationships/image" Target="media/image12.jpeg"/><Relationship Id="rId27" Type="http://schemas.openxmlformats.org/officeDocument/2006/relationships/hyperlink" Target="http://www.ecfr.gov/cgi-bin/text-idx?SID=15408e4f35c615795a546ec6efe87cc6&amp;node=pt40.21.98&amp;rgn=div5" TargetMode="External"/><Relationship Id="rId30" Type="http://schemas.openxmlformats.org/officeDocument/2006/relationships/hyperlink" Target="http://ampd.epa.gov/ampd/QueryToolie.html" TargetMode="External"/><Relationship Id="rId35" Type="http://schemas.openxmlformats.org/officeDocument/2006/relationships/header" Target="header1.xml"/></Relationships>
</file>

<file path=word/_rels/footnotes.xml.rels><?xml version="1.0" encoding="UTF-8" standalone="yes"?>
<Relationships xmlns="http://schemas.openxmlformats.org/package/2006/relationships"><Relationship Id="rId2" Type="http://schemas.openxmlformats.org/officeDocument/2006/relationships/hyperlink" Target="http://www.epa.gov/nsr/documents/20140724memo.pdf" TargetMode="External"/><Relationship Id="rId1" Type="http://schemas.openxmlformats.org/officeDocument/2006/relationships/hyperlink" Target="http://www.supremecourt.gov/opinions/13pdf/12-1146_4g18.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030B1B-C4FF-4F96-AACB-EA38A6712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1279</TotalTime>
  <Pages>13</Pages>
  <Words>4656</Words>
  <Characters>26544</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31138</CharactersWithSpaces>
  <SharedDoc>false</SharedDoc>
  <HLinks>
    <vt:vector size="6" baseType="variant">
      <vt:variant>
        <vt:i4>2621499</vt:i4>
      </vt:variant>
      <vt:variant>
        <vt:i4>3</vt:i4>
      </vt:variant>
      <vt:variant>
        <vt:i4>0</vt:i4>
      </vt:variant>
      <vt:variant>
        <vt:i4>5</vt:i4>
      </vt:variant>
      <vt:variant>
        <vt:lpwstr>http://northernstargeneration.com/mulberry.html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lastModifiedBy>Linero, Alvaro</cp:lastModifiedBy>
  <cp:revision>24</cp:revision>
  <cp:lastPrinted>2014-12-03T17:52:00Z</cp:lastPrinted>
  <dcterms:created xsi:type="dcterms:W3CDTF">2014-12-21T14:16:00Z</dcterms:created>
  <dcterms:modified xsi:type="dcterms:W3CDTF">2015-01-12T21:12:00Z</dcterms:modified>
</cp:coreProperties>
</file>